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1D" w:rsidRPr="00A173FA" w:rsidRDefault="00C7671D" w:rsidP="00C7671D">
      <w:pPr>
        <w:jc w:val="center"/>
        <w:rPr>
          <w:b/>
        </w:rPr>
      </w:pPr>
      <w:r w:rsidRPr="00A173FA">
        <w:rPr>
          <w:b/>
        </w:rPr>
        <w:t>Independent Commission Against Corruption</w:t>
      </w:r>
    </w:p>
    <w:p w:rsidR="00C7671D" w:rsidRDefault="00C7671D" w:rsidP="00C7671D">
      <w:pPr>
        <w:jc w:val="center"/>
      </w:pPr>
    </w:p>
    <w:p w:rsidR="00C7671D" w:rsidRDefault="00C7671D" w:rsidP="00C7671D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1095375" cy="180975"/>
                <wp:effectExtent l="28575" t="71120" r="190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71D" w:rsidRDefault="00C7671D" w:rsidP="00C767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Specification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4077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3.15pt;width:8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C7671D" w:rsidRDefault="00C7671D" w:rsidP="00C767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671D" w:rsidRDefault="00C7671D" w:rsidP="00C7671D">
      <w:pPr>
        <w:jc w:val="center"/>
      </w:pPr>
    </w:p>
    <w:p w:rsidR="00C7671D" w:rsidRDefault="00C7671D" w:rsidP="00C7671D">
      <w:pPr>
        <w:tabs>
          <w:tab w:val="left" w:pos="2700"/>
          <w:tab w:val="left" w:pos="3060"/>
        </w:tabs>
        <w:spacing w:line="480" w:lineRule="auto"/>
      </w:pPr>
      <w:r w:rsidRPr="007A7710">
        <w:rPr>
          <w:b/>
        </w:rPr>
        <w:t>Post</w:t>
      </w:r>
      <w:r w:rsidRPr="007A7710">
        <w:rPr>
          <w:b/>
        </w:rPr>
        <w:tab/>
        <w:t>:</w:t>
      </w:r>
      <w:r>
        <w:tab/>
        <w:t>Legal Adviser</w:t>
      </w:r>
    </w:p>
    <w:p w:rsidR="00C7671D" w:rsidRDefault="00C7671D" w:rsidP="00C7671D">
      <w:pPr>
        <w:tabs>
          <w:tab w:val="left" w:pos="2700"/>
          <w:tab w:val="left" w:pos="3060"/>
        </w:tabs>
        <w:spacing w:line="480" w:lineRule="auto"/>
      </w:pPr>
      <w:r w:rsidRPr="007A7710">
        <w:rPr>
          <w:b/>
        </w:rPr>
        <w:t>Division</w:t>
      </w:r>
      <w:r w:rsidRPr="007A7710">
        <w:rPr>
          <w:b/>
        </w:rPr>
        <w:tab/>
        <w:t>:</w:t>
      </w:r>
      <w:r>
        <w:tab/>
        <w:t>Legal</w:t>
      </w:r>
    </w:p>
    <w:p w:rsidR="00C7671D" w:rsidRDefault="00C7671D" w:rsidP="00C7671D">
      <w:pPr>
        <w:tabs>
          <w:tab w:val="left" w:pos="2700"/>
          <w:tab w:val="left" w:pos="3060"/>
        </w:tabs>
        <w:spacing w:line="480" w:lineRule="auto"/>
      </w:pPr>
      <w:r w:rsidRPr="007A7710">
        <w:rPr>
          <w:b/>
        </w:rPr>
        <w:t>Report To</w:t>
      </w:r>
      <w:r w:rsidRPr="007A7710">
        <w:rPr>
          <w:b/>
        </w:rPr>
        <w:tab/>
        <w:t>:</w:t>
      </w:r>
      <w:r>
        <w:tab/>
        <w:t>Senior Legal Adviser</w:t>
      </w:r>
    </w:p>
    <w:p w:rsidR="00C7671D" w:rsidRDefault="00C7671D" w:rsidP="00C7671D">
      <w:pPr>
        <w:tabs>
          <w:tab w:val="left" w:pos="2700"/>
          <w:tab w:val="left" w:pos="3060"/>
        </w:tabs>
        <w:spacing w:after="240"/>
        <w:ind w:left="3060" w:hanging="3060"/>
        <w:jc w:val="both"/>
      </w:pPr>
      <w:r w:rsidRPr="007A7710">
        <w:rPr>
          <w:b/>
        </w:rPr>
        <w:t>Qualifications</w:t>
      </w:r>
      <w:r w:rsidRPr="007A7710">
        <w:rPr>
          <w:b/>
        </w:rPr>
        <w:tab/>
        <w:t>:</w:t>
      </w:r>
      <w:r>
        <w:rPr>
          <w:b/>
        </w:rPr>
        <w:tab/>
      </w:r>
      <w:r w:rsidRPr="00180B9D">
        <w:t>Barrister</w:t>
      </w:r>
      <w:r>
        <w:t xml:space="preserve"> at Law with at least one year Standing at the Bar or Attorney at Law with at least one year experience.</w:t>
      </w:r>
    </w:p>
    <w:p w:rsidR="00C7671D" w:rsidRPr="002F6100" w:rsidRDefault="00C7671D" w:rsidP="00C7671D">
      <w:pPr>
        <w:tabs>
          <w:tab w:val="left" w:pos="2700"/>
          <w:tab w:val="left" w:pos="3060"/>
        </w:tabs>
        <w:spacing w:after="240"/>
        <w:ind w:left="3060" w:hanging="3060"/>
        <w:jc w:val="both"/>
      </w:pPr>
      <w:r w:rsidRPr="002F6100">
        <w:tab/>
      </w:r>
      <w:r w:rsidRPr="002F6100">
        <w:tab/>
        <w:t>Experience</w:t>
      </w:r>
      <w:r>
        <w:t xml:space="preserve"> in Criminal Law, Civil Law and Administrative and Constitutional Law or Prosecution will be an advantage.</w:t>
      </w:r>
    </w:p>
    <w:p w:rsidR="00C7671D" w:rsidRDefault="00C7671D" w:rsidP="00C7671D">
      <w:pPr>
        <w:tabs>
          <w:tab w:val="left" w:pos="2700"/>
          <w:tab w:val="left" w:pos="3060"/>
        </w:tabs>
        <w:spacing w:after="120"/>
        <w:ind w:left="3067" w:hanging="3067"/>
        <w:jc w:val="both"/>
        <w:rPr>
          <w:b/>
          <w:i/>
        </w:rPr>
      </w:pPr>
      <w:r>
        <w:rPr>
          <w:b/>
          <w:i/>
        </w:rPr>
        <w:t>Competencies</w:t>
      </w:r>
      <w:r>
        <w:rPr>
          <w:b/>
          <w:i/>
        </w:rPr>
        <w:tab/>
        <w:t>:</w:t>
      </w:r>
      <w:r>
        <w:rPr>
          <w:b/>
          <w:i/>
        </w:rPr>
        <w:tab/>
        <w:t xml:space="preserve">Professionalism: Comprehensive knowledge of and experience in criminal, constitutional and administrative law; drafting skills in legal documents and legislative instruments; ability to work on different legal issues at one time; ability to work well under pressure and apply good judgment in decision making; ability to negotiate skillfully. </w:t>
      </w:r>
    </w:p>
    <w:p w:rsidR="00C7671D" w:rsidRDefault="00C7671D" w:rsidP="00C7671D">
      <w:pPr>
        <w:tabs>
          <w:tab w:val="left" w:pos="2700"/>
          <w:tab w:val="left" w:pos="3060"/>
        </w:tabs>
        <w:spacing w:after="120"/>
        <w:ind w:left="3067" w:hanging="306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Communication:  Ability to communicate orally and to write skillfully.</w:t>
      </w:r>
    </w:p>
    <w:p w:rsidR="00C7671D" w:rsidRDefault="00C7671D" w:rsidP="00C7671D">
      <w:pPr>
        <w:tabs>
          <w:tab w:val="left" w:pos="2700"/>
          <w:tab w:val="left" w:pos="3060"/>
        </w:tabs>
        <w:spacing w:after="120"/>
        <w:ind w:left="3067" w:hanging="306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Teamwork:  Ability to work in a team.</w:t>
      </w:r>
    </w:p>
    <w:p w:rsidR="00C7671D" w:rsidRDefault="00C7671D" w:rsidP="00C7671D">
      <w:pPr>
        <w:tabs>
          <w:tab w:val="left" w:pos="2700"/>
          <w:tab w:val="left" w:pos="3060"/>
        </w:tabs>
        <w:spacing w:after="240"/>
        <w:ind w:left="3067" w:hanging="306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Leadership:  Have strong managerial and supervisory skills.</w:t>
      </w:r>
    </w:p>
    <w:p w:rsidR="00C7671D" w:rsidRDefault="00C7671D" w:rsidP="00C7671D">
      <w:pPr>
        <w:tabs>
          <w:tab w:val="left" w:pos="2700"/>
          <w:tab w:val="left" w:pos="3060"/>
        </w:tabs>
        <w:ind w:left="3060" w:hanging="3060"/>
        <w:jc w:val="both"/>
      </w:pPr>
      <w:r w:rsidRPr="007A7710">
        <w:rPr>
          <w:b/>
        </w:rPr>
        <w:t>Duties &amp; Responsibilities</w:t>
      </w:r>
      <w:r w:rsidRPr="007A7710">
        <w:rPr>
          <w:b/>
        </w:rPr>
        <w:tab/>
        <w:t>:</w:t>
      </w:r>
      <w:r>
        <w:tab/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1.</w:t>
      </w:r>
      <w:r>
        <w:tab/>
        <w:t>To tender legal advice to the ICAC, the Advisory and Review Committees and on issues related to investigation into corruption and money laundering, criminal law and law of evidence.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lastRenderedPageBreak/>
        <w:tab/>
        <w:t>2.</w:t>
      </w:r>
      <w:r>
        <w:tab/>
        <w:t>To liaise with the Director of Public Prosecutions under the supervision of the Deputy Chief Legal Adviser.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3.</w:t>
      </w:r>
      <w:r>
        <w:tab/>
        <w:t>To assist in tendering legal advice by the Division.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4.</w:t>
      </w:r>
      <w:r>
        <w:tab/>
        <w:t>To assist in the conduct of criminal, civil or any other public law proceedings to which the Commission is or may be a party.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5.</w:t>
      </w:r>
      <w:r>
        <w:tab/>
        <w:t>To undertake research and draft legal opinions.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6.</w:t>
      </w:r>
      <w:r>
        <w:tab/>
        <w:t xml:space="preserve">To undertake and assist in research projects in order to identify the causes of corruption and its consequences on, </w:t>
      </w:r>
      <w:r w:rsidRPr="00366312">
        <w:rPr>
          <w:i/>
        </w:rPr>
        <w:t>inter alia</w:t>
      </w:r>
      <w:r>
        <w:t>, the social and economic structure of Mauritius.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7.</w:t>
      </w:r>
      <w:r>
        <w:tab/>
        <w:t>To draft model codes of conduct and advise public bodies as to the adoption of such code of conduct as may be suited to such bodies.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8.</w:t>
      </w:r>
      <w:r>
        <w:tab/>
        <w:t>To cooperate and collaborate with international institutions, agencies or organisations in the fight against money laundering and corruption.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9.</w:t>
      </w:r>
      <w:r>
        <w:tab/>
        <w:t>To monitor current legislative and administrative practices.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10.</w:t>
      </w:r>
      <w:r>
        <w:tab/>
        <w:t>To advise the Commission on such legislative reform as it considers necessary to foster the elimination of acts of corruption.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11.</w:t>
      </w:r>
      <w:r>
        <w:tab/>
        <w:t>To execute any request for assistance referred to it by the FIU.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12.</w:t>
      </w:r>
      <w:r>
        <w:tab/>
        <w:t>To assist in the preparation and conduct of prosecution of cases involving corruption and money laundering.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tab/>
        <w:t>13.</w:t>
      </w:r>
      <w:r>
        <w:tab/>
        <w:t>To vet any press communication prepared by the Press Unit.</w:t>
      </w:r>
    </w:p>
    <w:p w:rsidR="00C7671D" w:rsidRDefault="00C7671D" w:rsidP="00C7671D">
      <w:pPr>
        <w:tabs>
          <w:tab w:val="left" w:pos="2700"/>
          <w:tab w:val="left" w:pos="3240"/>
        </w:tabs>
        <w:spacing w:after="240"/>
        <w:ind w:left="3240" w:hanging="3240"/>
        <w:jc w:val="both"/>
      </w:pPr>
      <w:r>
        <w:lastRenderedPageBreak/>
        <w:tab/>
        <w:t>14.</w:t>
      </w:r>
      <w:r>
        <w:tab/>
        <w:t>To assist the Deputy Chief Legal Adviser in the Legal Documentation Unit.</w:t>
      </w:r>
    </w:p>
    <w:p w:rsidR="00FB1AB2" w:rsidRDefault="00C7671D" w:rsidP="008159A5">
      <w:pPr>
        <w:tabs>
          <w:tab w:val="left" w:pos="2700"/>
          <w:tab w:val="left" w:pos="3240"/>
        </w:tabs>
        <w:spacing w:after="240"/>
        <w:ind w:left="3240" w:hanging="3240"/>
        <w:jc w:val="both"/>
      </w:pPr>
      <w:r w:rsidRPr="003B47C6">
        <w:rPr>
          <w:b/>
        </w:rPr>
        <w:tab/>
      </w:r>
      <w:r w:rsidRPr="003B47C6">
        <w:t>15.</w:t>
      </w:r>
      <w:r w:rsidRPr="003B47C6">
        <w:tab/>
        <w:t>To perform such other duties as may be assigned.</w:t>
      </w:r>
      <w:bookmarkStart w:id="0" w:name="_GoBack"/>
      <w:bookmarkEnd w:id="0"/>
    </w:p>
    <w:sectPr w:rsidR="00FB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76" w:rsidRDefault="00D06276" w:rsidP="00D06276">
      <w:r>
        <w:separator/>
      </w:r>
    </w:p>
  </w:endnote>
  <w:endnote w:type="continuationSeparator" w:id="0">
    <w:p w:rsidR="00D06276" w:rsidRDefault="00D06276" w:rsidP="00D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76" w:rsidRDefault="00D06276" w:rsidP="00D06276">
      <w:r>
        <w:separator/>
      </w:r>
    </w:p>
  </w:footnote>
  <w:footnote w:type="continuationSeparator" w:id="0">
    <w:p w:rsidR="00D06276" w:rsidRDefault="00D06276" w:rsidP="00D0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D"/>
    <w:rsid w:val="008159A5"/>
    <w:rsid w:val="00C7671D"/>
    <w:rsid w:val="00D06276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2256F8-A3FD-4A9C-8144-623AE53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71D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06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Benyett</dc:creator>
  <cp:keywords/>
  <dc:description/>
  <cp:lastModifiedBy>Gaytree Jankee</cp:lastModifiedBy>
  <cp:revision>3</cp:revision>
  <dcterms:created xsi:type="dcterms:W3CDTF">2020-03-06T07:47:00Z</dcterms:created>
  <dcterms:modified xsi:type="dcterms:W3CDTF">2020-03-06T07:48:00Z</dcterms:modified>
</cp:coreProperties>
</file>