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B9C54" w14:textId="0CEECE57" w:rsidR="00E81009" w:rsidRPr="008E0366" w:rsidRDefault="00AD68BC" w:rsidP="00E81009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en-GB"/>
          <w14:cntxtAlts/>
        </w:rPr>
      </w:pPr>
      <w:r w:rsidRPr="00404E19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E9362" wp14:editId="4F4A89DC">
                <wp:simplePos x="0" y="0"/>
                <wp:positionH relativeFrom="column">
                  <wp:posOffset>6410656</wp:posOffset>
                </wp:positionH>
                <wp:positionV relativeFrom="paragraph">
                  <wp:posOffset>-28782</wp:posOffset>
                </wp:positionV>
                <wp:extent cx="656357" cy="289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57" cy="28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EC3E6" w14:textId="1D62DD2E" w:rsidR="00AD68BC" w:rsidRDefault="00AD68BC">
                            <w:r>
                              <w:t xml:space="preserve">Annex </w:t>
                            </w:r>
                            <w:r w:rsidR="00BE4A5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E9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8pt;margin-top:-2.25pt;width:51.7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" fillcolor="white [3201]" stroked="f" strokeweight=".5pt">
                <v:textbox>
                  <w:txbxContent>
                    <w:p w14:paraId="3EBEC3E6" w14:textId="1D62DD2E" w:rsidR="00AD68BC" w:rsidRDefault="00AD68BC">
                      <w:r>
                        <w:t xml:space="preserve">Annex </w:t>
                      </w:r>
                      <w:r w:rsidR="00BE4A56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14208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492D4" wp14:editId="2551D570">
                <wp:simplePos x="0" y="0"/>
                <wp:positionH relativeFrom="column">
                  <wp:posOffset>-15240</wp:posOffset>
                </wp:positionH>
                <wp:positionV relativeFrom="paragraph">
                  <wp:posOffset>-183690</wp:posOffset>
                </wp:positionV>
                <wp:extent cx="691200" cy="68393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" cy="683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C5946" w14:textId="77777777" w:rsidR="00B14208" w:rsidRDefault="00B142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02898C" wp14:editId="2263ACBB">
                                  <wp:extent cx="478155" cy="586105"/>
                                  <wp:effectExtent l="0" t="0" r="0" b="4445"/>
                                  <wp:docPr id="3" name="Picture 2" descr="ICACLOGO+CMY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ICACLOGO+CMYK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55" cy="58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92D4" id="Text Box 6" o:spid="_x0000_s1027" type="#_x0000_t202" style="position:absolute;left:0;text-align:left;margin-left:-1.2pt;margin-top:-14.45pt;width:54.45pt;height:5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" fillcolor="white [3201]" stroked="f" strokeweight=".5pt">
                <v:textbox>
                  <w:txbxContent>
                    <w:p w14:paraId="66EC5946" w14:textId="77777777" w:rsidR="00B14208" w:rsidRDefault="00B142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02898C" wp14:editId="2263ACBB">
                            <wp:extent cx="478155" cy="586105"/>
                            <wp:effectExtent l="0" t="0" r="0" b="4445"/>
                            <wp:docPr id="3" name="Picture 2" descr="ICACLOGO+CMY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ICACLOGO+CMYK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" cy="58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009" w:rsidRPr="008E03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en-GB"/>
          <w14:cntxtAlts/>
        </w:rPr>
        <w:t>INDEPENDENT COMMISSION AGAINST CORRUPTION</w:t>
      </w:r>
    </w:p>
    <w:p w14:paraId="6758F53D" w14:textId="77777777" w:rsidR="00E81009" w:rsidRPr="008E0366" w:rsidRDefault="00E81009" w:rsidP="00E81009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  <w:t>THE DECLARATION OF ASSETS ACT 2018</w:t>
      </w:r>
    </w:p>
    <w:p w14:paraId="5AC5243D" w14:textId="77777777" w:rsidR="00E81009" w:rsidRPr="00A55C42" w:rsidRDefault="00E81009" w:rsidP="00E81009">
      <w:pPr>
        <w:shd w:val="clear" w:color="auto" w:fill="DEEAF6" w:themeFill="accent1" w:themeFillTint="33"/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val="en-US" w:eastAsia="en-GB"/>
          <w14:cntxtAlts/>
        </w:rPr>
        <w:t xml:space="preserve"> </w:t>
      </w:r>
      <w:r w:rsidRPr="00A55C42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An overview of the Act</w:t>
      </w:r>
    </w:p>
    <w:p w14:paraId="1B27047B" w14:textId="6A529A84" w:rsidR="00E95DF4" w:rsidRPr="00984108" w:rsidRDefault="00E95DF4" w:rsidP="005D0D37">
      <w:pPr>
        <w:widowControl w:val="0"/>
        <w:spacing w:after="0" w:line="192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28"/>
          <w:sz w:val="10"/>
          <w:szCs w:val="20"/>
          <w:lang w:val="en-US" w:eastAsia="en-GB"/>
          <w14:cntxtAlts/>
        </w:rPr>
      </w:pPr>
    </w:p>
    <w:p w14:paraId="7EC136C3" w14:textId="0E7C0BD7" w:rsidR="0076189E" w:rsidRDefault="00E81009" w:rsidP="00A45BB0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A55C42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The Declaration of Assets Act 2018 was enacted by the </w:t>
      </w:r>
      <w:r w:rsidR="00E926CC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National Assembly</w:t>
      </w:r>
      <w:r w:rsidRPr="00A55C42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 on 12 December 2018 and </w:t>
      </w:r>
      <w:r w:rsidR="00537FA4" w:rsidRPr="00A55C42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will</w:t>
      </w:r>
      <w:r w:rsidR="00D81C76" w:rsidRPr="00A55C42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 come </w:t>
      </w:r>
      <w:r w:rsidRPr="00A55C42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into force on </w:t>
      </w:r>
      <w:r w:rsidR="00D81C76" w:rsidRPr="00A55C42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01 June 2019.</w:t>
      </w:r>
      <w:r w:rsidR="0076189E" w:rsidRPr="00A55C42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 </w:t>
      </w:r>
      <w:r w:rsidRPr="00A55C42">
        <w:rPr>
          <w:rFonts w:ascii="Times New Roman" w:hAnsi="Times New Roman" w:cs="Times New Roman"/>
          <w:lang w:eastAsia="en-GB"/>
        </w:rPr>
        <w:t xml:space="preserve">The Act provides for a new legal framework governing the declaration of assets in the public sector in Mauritius. </w:t>
      </w:r>
    </w:p>
    <w:p w14:paraId="52F4434F" w14:textId="77777777" w:rsidR="006F4501" w:rsidRPr="00984108" w:rsidRDefault="006F4501" w:rsidP="0076189E">
      <w:pPr>
        <w:spacing w:after="0"/>
        <w:rPr>
          <w:rFonts w:ascii="Times New Roman" w:eastAsia="Times New Roman" w:hAnsi="Times New Roman" w:cs="Times New Roman"/>
          <w:color w:val="FF0000"/>
          <w:kern w:val="28"/>
          <w:sz w:val="6"/>
          <w:szCs w:val="20"/>
          <w:lang w:eastAsia="en-GB"/>
          <w14:cntxtAlts/>
        </w:rPr>
      </w:pPr>
    </w:p>
    <w:p w14:paraId="0688FC04" w14:textId="6CD5B350" w:rsidR="003239AA" w:rsidRPr="00A55C42" w:rsidRDefault="003239AA" w:rsidP="003239AA">
      <w:pPr>
        <w:shd w:val="clear" w:color="auto" w:fill="DEEAF6" w:themeFill="accent1" w:themeFillTint="33"/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</w:pPr>
      <w:r w:rsidRPr="00A55C42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Who should make a Declaration and When</w:t>
      </w:r>
      <w:r w:rsidR="00784F62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?</w:t>
      </w:r>
    </w:p>
    <w:p w14:paraId="5038CF56" w14:textId="77777777" w:rsidR="003239AA" w:rsidRPr="009A100B" w:rsidRDefault="003239AA" w:rsidP="003239AA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4"/>
          <w:szCs w:val="20"/>
          <w:lang w:val="en-US" w:eastAsia="en-GB"/>
          <w14:cntxtAlts/>
        </w:rPr>
      </w:pPr>
    </w:p>
    <w:p w14:paraId="6BBE1813" w14:textId="128FB6A7" w:rsidR="00784F62" w:rsidRDefault="00537FA4" w:rsidP="009A100B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</w:pPr>
      <w:r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Under section 4 of the 2018 Act, a</w:t>
      </w:r>
      <w:r w:rsidR="003239AA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ny </w:t>
      </w:r>
      <w:r w:rsidR="003239AA" w:rsidRPr="009A100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person referred to under Section 3</w:t>
      </w:r>
      <w:r w:rsidR="003239AA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 of the Act</w:t>
      </w:r>
      <w:r w:rsidR="00251298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 (declarant)</w:t>
      </w:r>
      <w:r w:rsidR="003239AA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, as listed in the table overleaf, </w:t>
      </w:r>
      <w:r w:rsidR="0080015D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has an obligation </w:t>
      </w:r>
      <w:r w:rsidR="003239AA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to file his declaration of assets and liabilities with the ICAC, including the assets and liabilities of his spouse and minor childre</w:t>
      </w:r>
      <w:r w:rsidR="004C6A21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n and, property sold, transferred or donated to his children of age and his grandchildren</w:t>
      </w:r>
      <w:r w:rsidR="00DE3235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 (</w:t>
      </w:r>
      <w:r w:rsidR="00FC023E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Section </w:t>
      </w:r>
      <w:r w:rsidR="00DE3235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4</w:t>
      </w:r>
      <w:r w:rsidR="00E44F07" w:rsidRPr="009A100B">
        <w:rPr>
          <w:rFonts w:ascii="Times New Roman" w:eastAsia="Times New Roman" w:hAnsi="Times New Roman" w:cs="Times New Roman"/>
          <w:bCs/>
          <w:color w:val="000000"/>
          <w:kern w:val="28"/>
          <w:sz w:val="18"/>
          <w:szCs w:val="20"/>
          <w:lang w:val="en-US" w:eastAsia="en-GB"/>
          <w14:cntxtAlts/>
        </w:rPr>
        <w:t>(</w:t>
      </w:r>
      <w:r w:rsidR="00DE3235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4</w:t>
      </w:r>
      <w:r w:rsidR="00E44F07" w:rsidRPr="009A100B">
        <w:rPr>
          <w:rFonts w:ascii="Times New Roman" w:eastAsia="Times New Roman" w:hAnsi="Times New Roman" w:cs="Times New Roman"/>
          <w:bCs/>
          <w:color w:val="000000"/>
          <w:kern w:val="28"/>
          <w:sz w:val="18"/>
          <w:szCs w:val="20"/>
          <w:lang w:val="en-US" w:eastAsia="en-GB"/>
          <w14:cntxtAlts/>
        </w:rPr>
        <w:t>)</w:t>
      </w:r>
      <w:r w:rsidR="00DE3235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)</w:t>
      </w:r>
      <w:r w:rsidR="00A45BB0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.</w:t>
      </w:r>
    </w:p>
    <w:p w14:paraId="241966E6" w14:textId="77777777" w:rsidR="009A100B" w:rsidRPr="009A100B" w:rsidRDefault="009A100B" w:rsidP="009A100B">
      <w:pPr>
        <w:pStyle w:val="ListParagraph"/>
        <w:widowControl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6"/>
          <w:szCs w:val="20"/>
          <w:lang w:val="en-US" w:eastAsia="en-GB"/>
          <w14:cntxtAlts/>
        </w:rPr>
      </w:pPr>
    </w:p>
    <w:p w14:paraId="16635685" w14:textId="18A4FD45" w:rsidR="00E04B39" w:rsidRPr="009A100B" w:rsidRDefault="004C6A21" w:rsidP="009A100B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Cs w:val="20"/>
          <w:lang w:eastAsia="en-GB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A d</w:t>
      </w:r>
      <w:r w:rsidR="00E04B39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eclarant </w:t>
      </w:r>
      <w:r w:rsidR="00E04B39" w:rsidRPr="009A100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in office at the date of commencement of the Act</w:t>
      </w:r>
      <w:r w:rsidR="00E04B39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 also have the obligation to make a declaration of his assets and those of his spouse, his minor children</w:t>
      </w:r>
      <w:r w:rsidR="00DE3235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, and property sold, transferred or donated to his children of age and grandchildren</w:t>
      </w:r>
      <w:r w:rsidR="00E04B39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. </w:t>
      </w:r>
      <w:r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(</w:t>
      </w:r>
      <w:r w:rsidRPr="009A100B">
        <w:rPr>
          <w:rFonts w:ascii="Times New Roman" w:eastAsia="Times New Roman" w:hAnsi="Times New Roman" w:cs="Times New Roman"/>
          <w:bCs/>
          <w:color w:val="000000" w:themeColor="text1"/>
          <w:kern w:val="28"/>
          <w:szCs w:val="20"/>
          <w:lang w:eastAsia="en-GB"/>
          <w14:cntxtAlts/>
        </w:rPr>
        <w:t>Section 16 – Transitional Provisions</w:t>
      </w:r>
      <w:r w:rsidR="00DE3235" w:rsidRPr="009A100B">
        <w:rPr>
          <w:rFonts w:ascii="Times New Roman" w:eastAsia="Times New Roman" w:hAnsi="Times New Roman" w:cs="Times New Roman"/>
          <w:bCs/>
          <w:color w:val="000000" w:themeColor="text1"/>
          <w:kern w:val="28"/>
          <w:szCs w:val="20"/>
          <w:lang w:eastAsia="en-GB"/>
          <w14:cntxtAlts/>
        </w:rPr>
        <w:t xml:space="preserve"> and </w:t>
      </w:r>
      <w:r w:rsidR="00FC023E" w:rsidRPr="009A100B">
        <w:rPr>
          <w:rFonts w:ascii="Times New Roman" w:eastAsia="Times New Roman" w:hAnsi="Times New Roman" w:cs="Times New Roman"/>
          <w:bCs/>
          <w:color w:val="000000" w:themeColor="text1"/>
          <w:kern w:val="28"/>
          <w:szCs w:val="20"/>
          <w:lang w:eastAsia="en-GB"/>
          <w14:cntxtAlts/>
        </w:rPr>
        <w:t xml:space="preserve">Section </w:t>
      </w:r>
      <w:r w:rsidR="00E44F07" w:rsidRPr="009A100B">
        <w:rPr>
          <w:rFonts w:ascii="Times New Roman" w:eastAsia="Times New Roman" w:hAnsi="Times New Roman" w:cs="Times New Roman"/>
          <w:bCs/>
          <w:color w:val="000000" w:themeColor="text1"/>
          <w:kern w:val="28"/>
          <w:szCs w:val="20"/>
          <w:lang w:eastAsia="en-GB"/>
          <w14:cntxtAlts/>
        </w:rPr>
        <w:t>4</w:t>
      </w:r>
      <w:r w:rsidR="00E44F07" w:rsidRPr="009A100B">
        <w:rPr>
          <w:rFonts w:ascii="Times New Roman" w:eastAsia="Times New Roman" w:hAnsi="Times New Roman" w:cs="Times New Roman"/>
          <w:bCs/>
          <w:color w:val="000000"/>
          <w:kern w:val="28"/>
          <w:sz w:val="18"/>
          <w:szCs w:val="20"/>
          <w:lang w:val="en-US" w:eastAsia="en-GB"/>
          <w14:cntxtAlts/>
        </w:rPr>
        <w:t>(</w:t>
      </w:r>
      <w:r w:rsidR="00DE3235" w:rsidRPr="009A100B">
        <w:rPr>
          <w:rFonts w:ascii="Times New Roman" w:eastAsia="Times New Roman" w:hAnsi="Times New Roman" w:cs="Times New Roman"/>
          <w:bCs/>
          <w:color w:val="000000" w:themeColor="text1"/>
          <w:kern w:val="28"/>
          <w:szCs w:val="20"/>
          <w:lang w:eastAsia="en-GB"/>
          <w14:cntxtAlts/>
        </w:rPr>
        <w:t>4</w:t>
      </w:r>
      <w:r w:rsidR="00E44F07" w:rsidRPr="009A100B">
        <w:rPr>
          <w:rFonts w:ascii="Times New Roman" w:eastAsia="Times New Roman" w:hAnsi="Times New Roman" w:cs="Times New Roman"/>
          <w:bCs/>
          <w:color w:val="000000"/>
          <w:kern w:val="28"/>
          <w:sz w:val="18"/>
          <w:szCs w:val="20"/>
          <w:lang w:val="en-US" w:eastAsia="en-GB"/>
          <w14:cntxtAlts/>
        </w:rPr>
        <w:t>)</w:t>
      </w:r>
      <w:r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)</w:t>
      </w:r>
      <w:r w:rsidR="004D1533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.</w:t>
      </w:r>
    </w:p>
    <w:p w14:paraId="24097988" w14:textId="77777777" w:rsidR="009A100B" w:rsidRPr="009A100B" w:rsidRDefault="009A100B" w:rsidP="009A100B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6"/>
          <w:szCs w:val="20"/>
          <w:lang w:eastAsia="en-GB"/>
          <w14:cntxtAlts/>
        </w:rPr>
      </w:pPr>
    </w:p>
    <w:p w14:paraId="791F7AB2" w14:textId="77777777" w:rsidR="009A100B" w:rsidRDefault="004C6A21" w:rsidP="009A100B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Furthermore, a</w:t>
      </w:r>
      <w:r w:rsidR="00251298" w:rsidRPr="00A55C42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ny person required to make a declaration of his assets and liabilities </w:t>
      </w:r>
      <w:r w:rsidR="00251298" w:rsidRPr="009F518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under any other enactment</w:t>
      </w:r>
      <w:r w:rsidR="00251298" w:rsidRPr="00A55C42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, shall not be required to make a declaration of his assets and liabilities under the other enactment but, rather, make a declaration of his assets and liabilities under the 2018 Act. </w:t>
      </w:r>
    </w:p>
    <w:p w14:paraId="38756192" w14:textId="77777777" w:rsidR="009A100B" w:rsidRPr="009A100B" w:rsidRDefault="009A100B" w:rsidP="009A100B">
      <w:pPr>
        <w:pStyle w:val="ListParagraph"/>
        <w:rPr>
          <w:rFonts w:ascii="Times New Roman" w:eastAsia="Times New Roman" w:hAnsi="Times New Roman" w:cs="Times New Roman"/>
          <w:bCs/>
          <w:color w:val="000000"/>
          <w:kern w:val="28"/>
          <w:sz w:val="6"/>
          <w:szCs w:val="20"/>
          <w:lang w:val="en-US" w:eastAsia="en-GB"/>
          <w14:cntxtAlts/>
        </w:rPr>
      </w:pPr>
    </w:p>
    <w:p w14:paraId="00BDD0B6" w14:textId="47B2FBDE" w:rsidR="00E04B39" w:rsidRDefault="004C6A21" w:rsidP="009A100B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</w:pPr>
      <w:r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A declarant </w:t>
      </w:r>
      <w:r w:rsidR="00B34043"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who </w:t>
      </w:r>
      <w:r w:rsidRPr="009A100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simultaneously holds different positions</w:t>
      </w:r>
      <w:r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 in relation to which he is required to make a declaration, shall make only one declaration.</w:t>
      </w:r>
    </w:p>
    <w:p w14:paraId="71108F6B" w14:textId="77777777" w:rsidR="009A100B" w:rsidRPr="009A100B" w:rsidRDefault="009A100B" w:rsidP="009A100B">
      <w:pPr>
        <w:pStyle w:val="ListParagraph"/>
        <w:spacing w:after="0"/>
        <w:rPr>
          <w:rFonts w:ascii="Times New Roman" w:eastAsia="Times New Roman" w:hAnsi="Times New Roman" w:cs="Times New Roman"/>
          <w:bCs/>
          <w:color w:val="000000"/>
          <w:kern w:val="28"/>
          <w:sz w:val="8"/>
          <w:szCs w:val="20"/>
          <w:lang w:val="en-US" w:eastAsia="en-GB"/>
          <w14:cntxtAlts/>
        </w:rPr>
      </w:pPr>
    </w:p>
    <w:p w14:paraId="47D17AF4" w14:textId="77777777" w:rsidR="009A100B" w:rsidRPr="009A100B" w:rsidRDefault="009A100B" w:rsidP="009A1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</w:pPr>
      <w:r w:rsidRPr="009A100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val="en-US" w:eastAsia="en-GB"/>
          <w14:cntxtAlts/>
        </w:rPr>
        <w:t>Section 4 prescribes a period of 30 days for the declarants to make their declarations and 90 days for those declarants in office at the commencement of the Act</w:t>
      </w:r>
      <w:r w:rsidRP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 (see Table overleaf).</w:t>
      </w:r>
      <w:bookmarkStart w:id="0" w:name="_GoBack"/>
      <w:bookmarkEnd w:id="0"/>
    </w:p>
    <w:p w14:paraId="35E752D9" w14:textId="77777777" w:rsidR="009A100B" w:rsidRPr="009A100B" w:rsidRDefault="009A100B" w:rsidP="009A10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10"/>
          <w:szCs w:val="20"/>
          <w:lang w:val="en-US" w:eastAsia="en-GB"/>
          <w14:cntxtAlts/>
        </w:rPr>
      </w:pPr>
    </w:p>
    <w:p w14:paraId="4D7ED417" w14:textId="1C0B39CC" w:rsidR="00E04B39" w:rsidRDefault="00E04B39" w:rsidP="0098410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For more information regarding assets and liabilities see Section 2 and 5(2) of the Act. </w:t>
      </w:r>
      <w:r w:rsidR="00DE3235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For purposes of </w:t>
      </w:r>
      <w:r w:rsidR="00FC023E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Section </w:t>
      </w:r>
      <w:r w:rsid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4(</w:t>
      </w:r>
      <w:r w:rsidR="00DE3235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4</w:t>
      </w:r>
      <w:r w:rsidR="009A100B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>)</w:t>
      </w:r>
      <w:r w:rsidR="00DE3235"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  <w:t xml:space="preserve"> and 16, the property sold, transferred or donated, to a declarant’s children of age and grandchildren, shall include income, benefits from any account, partnership or trust.</w:t>
      </w:r>
    </w:p>
    <w:p w14:paraId="7933F7A4" w14:textId="77777777" w:rsidR="00D8536F" w:rsidRPr="006F4501" w:rsidRDefault="00D8536F" w:rsidP="00D8536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4"/>
          <w:szCs w:val="20"/>
          <w:lang w:val="en-US" w:eastAsia="en-GB"/>
          <w14:cntxtAlts/>
        </w:rPr>
      </w:pPr>
    </w:p>
    <w:p w14:paraId="5E78D105" w14:textId="39297900" w:rsidR="0076189E" w:rsidRPr="006F4501" w:rsidRDefault="0076189E" w:rsidP="00984108">
      <w:pPr>
        <w:shd w:val="clear" w:color="auto" w:fill="DEEAF6" w:themeFill="accent1" w:themeFillTint="33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Cs w:val="20"/>
          <w:lang w:eastAsia="en-GB"/>
          <w14:cntxtAlts/>
        </w:rPr>
        <w:t xml:space="preserve">Obligations of the ICAC </w:t>
      </w:r>
    </w:p>
    <w:p w14:paraId="4FFE264B" w14:textId="58213373" w:rsidR="001D2573" w:rsidRPr="006F4501" w:rsidRDefault="001D2573" w:rsidP="0098410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Cs w:val="20"/>
          <w:lang w:val="en-US" w:eastAsia="en-GB"/>
          <w14:cntxtAlts/>
        </w:rPr>
      </w:pPr>
      <w:r w:rsidRPr="006F4501">
        <w:rPr>
          <w:rFonts w:ascii="Times New Roman" w:hAnsi="Times New Roman" w:cs="Times New Roman"/>
          <w:lang w:eastAsia="en-GB"/>
        </w:rPr>
        <w:t>Under the new Act, the ICAC will be the depository of the declarations; will monitor the assets and liabilities of any declarant for purposes of ensuring their correctness</w:t>
      </w:r>
      <w:r w:rsidR="004C6A21">
        <w:rPr>
          <w:rFonts w:ascii="Times New Roman" w:hAnsi="Times New Roman" w:cs="Times New Roman"/>
          <w:lang w:eastAsia="en-GB"/>
        </w:rPr>
        <w:t>,</w:t>
      </w:r>
      <w:r w:rsidRPr="006F4501">
        <w:rPr>
          <w:rFonts w:ascii="Times New Roman" w:hAnsi="Times New Roman" w:cs="Times New Roman"/>
          <w:lang w:eastAsia="en-GB"/>
        </w:rPr>
        <w:t xml:space="preserve"> and detecting and investigating corruption and money laundering offences or illicit enrichment; and disclose to the public those declarations as required by </w:t>
      </w:r>
      <w:r w:rsidR="00E926CC">
        <w:rPr>
          <w:rFonts w:ascii="Times New Roman" w:hAnsi="Times New Roman" w:cs="Times New Roman"/>
          <w:lang w:eastAsia="en-GB"/>
        </w:rPr>
        <w:t xml:space="preserve">Section 7 </w:t>
      </w:r>
      <w:r w:rsidR="00722ECF">
        <w:rPr>
          <w:rFonts w:ascii="Times New Roman" w:hAnsi="Times New Roman" w:cs="Times New Roman"/>
          <w:lang w:eastAsia="en-GB"/>
        </w:rPr>
        <w:t xml:space="preserve">of </w:t>
      </w:r>
      <w:r w:rsidRPr="006F4501">
        <w:rPr>
          <w:rFonts w:ascii="Times New Roman" w:hAnsi="Times New Roman" w:cs="Times New Roman"/>
          <w:lang w:eastAsia="en-GB"/>
        </w:rPr>
        <w:t>the Act.</w:t>
      </w:r>
    </w:p>
    <w:p w14:paraId="2F816B07" w14:textId="19E23536" w:rsidR="00E81009" w:rsidRPr="006F4501" w:rsidRDefault="00A45BB0" w:rsidP="00E81009">
      <w:pPr>
        <w:shd w:val="clear" w:color="auto" w:fill="DEEAF6" w:themeFill="accent1" w:themeFillTint="33"/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DC4E" wp14:editId="5F9D3345">
                <wp:simplePos x="0" y="0"/>
                <wp:positionH relativeFrom="column">
                  <wp:posOffset>-14402</wp:posOffset>
                </wp:positionH>
                <wp:positionV relativeFrom="paragraph">
                  <wp:posOffset>248123</wp:posOffset>
                </wp:positionV>
                <wp:extent cx="7269480" cy="1069975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10699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DE3B83" w14:textId="37D96936" w:rsidR="00A608FD" w:rsidRPr="00D8536F" w:rsidRDefault="00E81009" w:rsidP="00A608FD">
                            <w:pPr>
                              <w:spacing w:after="0" w:line="25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8536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Section 10 </w:t>
                            </w:r>
                          </w:p>
                          <w:p w14:paraId="0C9DFAD7" w14:textId="77777777" w:rsidR="00E81009" w:rsidRPr="00D8536F" w:rsidRDefault="00E81009" w:rsidP="00A608FD">
                            <w:pPr>
                              <w:spacing w:after="0" w:line="25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3ACD376" w14:textId="77777777" w:rsidR="00E81009" w:rsidRPr="006B4CAA" w:rsidRDefault="00E81009" w:rsidP="00E81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6B4CA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Where a person fails, without reasonable excuse, to submit a declaration within the specified period, he shall be liable to pay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to ICAC a penalty representing</w:t>
                            </w:r>
                            <w:r w:rsidRPr="006B4CA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5,000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rupees per </w:t>
                            </w:r>
                            <w:r w:rsidRPr="006B4CA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month or part of the month, until such time as the declaration is submitted, provided that the total pena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lty payable shall not exceed </w:t>
                            </w:r>
                            <w:r w:rsidRPr="006B4CA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50,000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rupees</w:t>
                            </w:r>
                            <w:r w:rsidRPr="006B4CA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3839290A" w14:textId="77777777" w:rsidR="00E81009" w:rsidRPr="00A45BB0" w:rsidRDefault="00E81009" w:rsidP="00E81009">
                            <w:pPr>
                              <w:pStyle w:val="ListParagraph"/>
                              <w:ind w:left="284"/>
                              <w:jc w:val="both"/>
                              <w:rPr>
                                <w:rFonts w:ascii="Times New Roman" w:hAnsi="Times New Roman"/>
                                <w:i/>
                                <w:sz w:val="4"/>
                                <w:szCs w:val="24"/>
                              </w:rPr>
                            </w:pPr>
                          </w:p>
                          <w:p w14:paraId="03E82FF1" w14:textId="77777777" w:rsidR="00E81009" w:rsidRDefault="00E81009" w:rsidP="00E81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</w:pPr>
                            <w:r w:rsidRPr="006B4CA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Any person who is dissatisfied with a decision of the ICAC relating to the imposition of a penalty pursuant to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subsection (1), may, </w:t>
                            </w:r>
                            <w:r w:rsidRPr="006B4CAA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within 28 days of the imposition of the penalty, apply to the Supreme Court for a judicial review of such decision.</w:t>
                            </w:r>
                          </w:p>
                          <w:p w14:paraId="7B33A1A9" w14:textId="77777777" w:rsidR="007602EF" w:rsidRPr="007602EF" w:rsidRDefault="007602EF" w:rsidP="007602EF">
                            <w:pPr>
                              <w:pStyle w:val="ListParagraph"/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</w:pPr>
                          </w:p>
                          <w:p w14:paraId="566EFED9" w14:textId="77777777" w:rsidR="007602EF" w:rsidRPr="007602EF" w:rsidRDefault="007602EF" w:rsidP="007602EF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</w:pPr>
                          </w:p>
                          <w:p w14:paraId="7D83D2B7" w14:textId="77777777" w:rsidR="00E81009" w:rsidRDefault="00E81009" w:rsidP="00E81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DC4E" id="Text Box 1" o:spid="_x0000_s1028" type="#_x0000_t202" style="position:absolute;left:0;text-align:left;margin-left:-1.15pt;margin-top:19.55pt;width:572.4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" fillcolor="#fbe5d6" stroked="f" strokeweight=".5pt">
                <v:textbox>
                  <w:txbxContent>
                    <w:p w14:paraId="74DE3B83" w14:textId="37D96936" w:rsidR="00A608FD" w:rsidRPr="00D8536F" w:rsidRDefault="00E81009" w:rsidP="00A608FD">
                      <w:pPr>
                        <w:spacing w:after="0" w:line="25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8536F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Section 10 </w:t>
                      </w:r>
                    </w:p>
                    <w:p w14:paraId="0C9DFAD7" w14:textId="77777777" w:rsidR="00E81009" w:rsidRPr="00D8536F" w:rsidRDefault="00E81009" w:rsidP="00A608FD">
                      <w:pPr>
                        <w:spacing w:after="0" w:line="25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23ACD376" w14:textId="77777777" w:rsidR="00E81009" w:rsidRPr="006B4CAA" w:rsidRDefault="00E81009" w:rsidP="00E81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</w:pPr>
                      <w:r w:rsidRPr="006B4CAA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Where a person fails, without reasonable excuse, to submit a declaration within the specified period, he shall be liable to pay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to ICAC a penalty representing</w:t>
                      </w:r>
                      <w:r w:rsidRPr="006B4CAA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5,000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rupees per </w:t>
                      </w:r>
                      <w:r w:rsidRPr="006B4CAA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month or part of the month, until such time as the declaration is submitted, provided that the total pena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lty payable shall not exceed </w:t>
                      </w:r>
                      <w:r w:rsidRPr="006B4CAA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50,000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rupees</w:t>
                      </w:r>
                      <w:r w:rsidRPr="006B4CAA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.</w:t>
                      </w:r>
                    </w:p>
                    <w:p w14:paraId="3839290A" w14:textId="77777777" w:rsidR="00E81009" w:rsidRPr="00A45BB0" w:rsidRDefault="00E81009" w:rsidP="00E81009">
                      <w:pPr>
                        <w:pStyle w:val="ListParagraph"/>
                        <w:ind w:left="284"/>
                        <w:jc w:val="both"/>
                        <w:rPr>
                          <w:rFonts w:ascii="Times New Roman" w:hAnsi="Times New Roman"/>
                          <w:i/>
                          <w:sz w:val="4"/>
                          <w:szCs w:val="24"/>
                        </w:rPr>
                      </w:pPr>
                    </w:p>
                    <w:p w14:paraId="03E82FF1" w14:textId="77777777" w:rsidR="00E81009" w:rsidRDefault="00E81009" w:rsidP="00E81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</w:pPr>
                      <w:r w:rsidRPr="006B4CAA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Any person who is dissatisfied with a decision of the ICAC relating to the imposition of a penalty pursuant to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subsection (1), may, </w:t>
                      </w:r>
                      <w:r w:rsidRPr="006B4CAA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within 28 days of the imposition of the penalty, apply to the Supreme Court for a judicial review of such decision.</w:t>
                      </w:r>
                    </w:p>
                    <w:p w14:paraId="7B33A1A9" w14:textId="77777777" w:rsidR="007602EF" w:rsidRPr="007602EF" w:rsidRDefault="007602EF" w:rsidP="007602EF">
                      <w:pPr>
                        <w:pStyle w:val="ListParagraph"/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</w:pPr>
                    </w:p>
                    <w:p w14:paraId="566EFED9" w14:textId="77777777" w:rsidR="007602EF" w:rsidRPr="007602EF" w:rsidRDefault="007602EF" w:rsidP="007602EF">
                      <w:pPr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</w:pPr>
                    </w:p>
                    <w:p w14:paraId="7D83D2B7" w14:textId="77777777" w:rsidR="00E81009" w:rsidRDefault="00E81009" w:rsidP="00E81009"/>
                  </w:txbxContent>
                </v:textbox>
              </v:shape>
            </w:pict>
          </mc:Fallback>
        </mc:AlternateContent>
      </w:r>
      <w:r w:rsidR="00D8536F" w:rsidRPr="006F4501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 xml:space="preserve"> Penalty for late submission of declaration</w:t>
      </w:r>
    </w:p>
    <w:p w14:paraId="12F3C9F5" w14:textId="0AC3F031" w:rsidR="00E81009" w:rsidRPr="006F4501" w:rsidRDefault="00E81009" w:rsidP="00E81009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</w:p>
    <w:p w14:paraId="2D976A63" w14:textId="05BEC85F" w:rsidR="00E81009" w:rsidRDefault="00E81009" w:rsidP="00E81009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</w:p>
    <w:p w14:paraId="6BF1EEDD" w14:textId="77777777" w:rsidR="00A45BB0" w:rsidRPr="006F4501" w:rsidRDefault="00A45BB0" w:rsidP="00E81009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</w:p>
    <w:p w14:paraId="24D91C27" w14:textId="77777777" w:rsidR="00E81009" w:rsidRPr="006F4501" w:rsidRDefault="00E81009" w:rsidP="00E81009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</w:p>
    <w:p w14:paraId="0DDCB83E" w14:textId="4EE0761C" w:rsidR="00E81009" w:rsidRPr="006F4501" w:rsidRDefault="00E81009" w:rsidP="00E81009">
      <w:pPr>
        <w:shd w:val="clear" w:color="auto" w:fill="DEEAF6" w:themeFill="accent1" w:themeFillTint="33"/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 xml:space="preserve">Summary of Offences </w:t>
      </w:r>
    </w:p>
    <w:tbl>
      <w:tblPr>
        <w:tblStyle w:val="GridTable4-Accent11"/>
        <w:tblW w:w="11335" w:type="dxa"/>
        <w:tblLook w:val="04A0" w:firstRow="1" w:lastRow="0" w:firstColumn="1" w:lastColumn="0" w:noHBand="0" w:noVBand="1"/>
      </w:tblPr>
      <w:tblGrid>
        <w:gridCol w:w="1121"/>
        <w:gridCol w:w="6104"/>
        <w:gridCol w:w="4110"/>
      </w:tblGrid>
      <w:tr w:rsidR="00E81009" w:rsidRPr="00A55C42" w14:paraId="1E677B69" w14:textId="77777777" w:rsidTr="00534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794D0C1" w14:textId="05700689" w:rsidR="00E81009" w:rsidRPr="00404E19" w:rsidRDefault="00E81009" w:rsidP="00155AD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Section</w:t>
            </w:r>
            <w:r w:rsidR="00722ECF" w:rsidRPr="00404E19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6104" w:type="dxa"/>
          </w:tcPr>
          <w:p w14:paraId="531958B9" w14:textId="77777777" w:rsidR="00E81009" w:rsidRPr="00404E19" w:rsidRDefault="00E81009" w:rsidP="00155AD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Offence</w:t>
            </w:r>
          </w:p>
        </w:tc>
        <w:tc>
          <w:tcPr>
            <w:tcW w:w="4110" w:type="dxa"/>
          </w:tcPr>
          <w:p w14:paraId="0E6D9E88" w14:textId="42340E27" w:rsidR="00E81009" w:rsidRPr="00404E19" w:rsidRDefault="00FC023E" w:rsidP="00155AD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Conviction</w:t>
            </w:r>
          </w:p>
        </w:tc>
      </w:tr>
      <w:tr w:rsidR="00E81009" w:rsidRPr="00A55C42" w14:paraId="40E689CB" w14:textId="77777777" w:rsidTr="0053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2F620DF" w14:textId="77777777" w:rsidR="00E81009" w:rsidRPr="00404E19" w:rsidRDefault="00E81009" w:rsidP="00155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11(1)</w:t>
            </w:r>
          </w:p>
        </w:tc>
        <w:tc>
          <w:tcPr>
            <w:tcW w:w="6104" w:type="dxa"/>
          </w:tcPr>
          <w:p w14:paraId="3757C78E" w14:textId="77777777" w:rsidR="00E81009" w:rsidRPr="00404E19" w:rsidRDefault="00E81009" w:rsidP="00155AD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Failing to make a declaration or wilfully makes a false declaration</w:t>
            </w:r>
          </w:p>
        </w:tc>
        <w:tc>
          <w:tcPr>
            <w:tcW w:w="4110" w:type="dxa"/>
          </w:tcPr>
          <w:p w14:paraId="3D8F6370" w14:textId="7A2AE879" w:rsidR="00E81009" w:rsidRPr="00404E19" w:rsidRDefault="00FC023E" w:rsidP="00155AD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 xml:space="preserve">Liable </w:t>
            </w:r>
            <w:r w:rsidR="00E81009" w:rsidRPr="00404E19">
              <w:rPr>
                <w:rFonts w:ascii="Times New Roman" w:hAnsi="Times New Roman" w:cs="Times New Roman"/>
                <w:sz w:val="20"/>
                <w:szCs w:val="24"/>
              </w:rPr>
              <w:t>to a fine not exceeding one million and to imprisonment for a term not exceeding 5 years</w:t>
            </w:r>
          </w:p>
        </w:tc>
      </w:tr>
      <w:tr w:rsidR="00E81009" w:rsidRPr="00A55C42" w14:paraId="10CC4B6D" w14:textId="77777777" w:rsidTr="00E44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  <w:shd w:val="clear" w:color="auto" w:fill="DEEAF6" w:themeFill="accent1" w:themeFillTint="33"/>
          </w:tcPr>
          <w:p w14:paraId="6740FCDF" w14:textId="77777777" w:rsidR="00E81009" w:rsidRPr="00404E19" w:rsidRDefault="00E81009" w:rsidP="00155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11(2)</w:t>
            </w:r>
          </w:p>
        </w:tc>
        <w:tc>
          <w:tcPr>
            <w:tcW w:w="6104" w:type="dxa"/>
            <w:shd w:val="clear" w:color="auto" w:fill="DEEAF6" w:themeFill="accent1" w:themeFillTint="33"/>
          </w:tcPr>
          <w:p w14:paraId="4331E5D5" w14:textId="77777777" w:rsidR="00E81009" w:rsidRPr="00404E19" w:rsidRDefault="00E81009" w:rsidP="00155A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In any other manner contravenes this Act or any regulations made under it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6C4AE8A7" w14:textId="424D1C56" w:rsidR="00E81009" w:rsidRPr="00404E19" w:rsidRDefault="00FC023E" w:rsidP="00155AD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 xml:space="preserve">Liable </w:t>
            </w:r>
            <w:r w:rsidR="00E81009" w:rsidRPr="00404E19">
              <w:rPr>
                <w:rFonts w:ascii="Times New Roman" w:hAnsi="Times New Roman" w:cs="Times New Roman"/>
                <w:sz w:val="20"/>
                <w:szCs w:val="24"/>
              </w:rPr>
              <w:t>to a fine not exceeding 10,000 rupees</w:t>
            </w:r>
          </w:p>
        </w:tc>
      </w:tr>
      <w:tr w:rsidR="00E81009" w:rsidRPr="00A55C42" w14:paraId="10A208FD" w14:textId="77777777" w:rsidTr="0053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87658B6" w14:textId="77777777" w:rsidR="00E81009" w:rsidRPr="00404E19" w:rsidRDefault="00E81009" w:rsidP="00155A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11(3)</w:t>
            </w:r>
          </w:p>
        </w:tc>
        <w:tc>
          <w:tcPr>
            <w:tcW w:w="6104" w:type="dxa"/>
          </w:tcPr>
          <w:p w14:paraId="3F35F5DD" w14:textId="77777777" w:rsidR="00E81009" w:rsidRPr="00404E19" w:rsidRDefault="00E81009" w:rsidP="00155AD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>Any spouse who, without any reasonable excuse, fails to collaborate in disclosing his or her assets and liabilities for the purpose of fulfilling a requirement under this Act</w:t>
            </w:r>
          </w:p>
        </w:tc>
        <w:tc>
          <w:tcPr>
            <w:tcW w:w="4110" w:type="dxa"/>
          </w:tcPr>
          <w:p w14:paraId="1425FE86" w14:textId="24A34854" w:rsidR="00E81009" w:rsidRPr="00404E19" w:rsidRDefault="00FC023E" w:rsidP="00155AD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04E19">
              <w:rPr>
                <w:rFonts w:ascii="Times New Roman" w:hAnsi="Times New Roman" w:cs="Times New Roman"/>
                <w:sz w:val="20"/>
                <w:szCs w:val="24"/>
              </w:rPr>
              <w:t xml:space="preserve">Liable </w:t>
            </w:r>
            <w:r w:rsidR="00E81009" w:rsidRPr="00404E19">
              <w:rPr>
                <w:rFonts w:ascii="Times New Roman" w:hAnsi="Times New Roman" w:cs="Times New Roman"/>
                <w:sz w:val="20"/>
                <w:szCs w:val="24"/>
              </w:rPr>
              <w:t>to a fine not exceeding 10,000 rupees and to imprisonment for a term not exceeding 6 months</w:t>
            </w:r>
          </w:p>
        </w:tc>
      </w:tr>
    </w:tbl>
    <w:p w14:paraId="333F8F21" w14:textId="77777777" w:rsidR="00B14208" w:rsidRPr="00404E19" w:rsidRDefault="00B14208" w:rsidP="00E81009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"/>
          <w:szCs w:val="20"/>
          <w:lang w:eastAsia="en-GB"/>
          <w14:cntxtAlts/>
        </w:rPr>
      </w:pPr>
    </w:p>
    <w:p w14:paraId="36962F15" w14:textId="77777777" w:rsidR="006F6C6B" w:rsidRPr="006F6C6B" w:rsidRDefault="00E95DF4" w:rsidP="007602E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  <w:r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 xml:space="preserve">All declarations required by the Act, shall be addressed to the Commission, to the attention of the Director </w:t>
      </w:r>
      <w:r w:rsidR="007602EF"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>General</w:t>
      </w:r>
      <w:r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 xml:space="preserve">, ICAC, </w:t>
      </w:r>
      <w:proofErr w:type="spellStart"/>
      <w:r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>Reduit</w:t>
      </w:r>
      <w:proofErr w:type="spellEnd"/>
      <w:r w:rsidR="007602EF"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 xml:space="preserve"> Triangle, </w:t>
      </w:r>
      <w:proofErr w:type="spellStart"/>
      <w:r w:rsidR="007602EF"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>Moka</w:t>
      </w:r>
      <w:proofErr w:type="spellEnd"/>
      <w:r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>.</w:t>
      </w:r>
      <w:r w:rsidR="007602EF"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 xml:space="preserve"> </w:t>
      </w:r>
    </w:p>
    <w:p w14:paraId="685D548F" w14:textId="77777777" w:rsidR="006F6C6B" w:rsidRDefault="006F6C6B" w:rsidP="007602E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10"/>
          <w:szCs w:val="20"/>
          <w:lang w:eastAsia="en-GB"/>
          <w14:cntxtAlts/>
        </w:rPr>
      </w:pPr>
    </w:p>
    <w:p w14:paraId="0D875378" w14:textId="77777777" w:rsidR="00A45BB0" w:rsidRPr="00A45BB0" w:rsidRDefault="00A45BB0" w:rsidP="007602E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"/>
          <w:szCs w:val="20"/>
          <w:lang w:eastAsia="en-GB"/>
          <w14:cntxtAlts/>
        </w:rPr>
      </w:pPr>
    </w:p>
    <w:p w14:paraId="5FE71AC4" w14:textId="3A9913D1" w:rsidR="00E95DF4" w:rsidRPr="006F6C6B" w:rsidRDefault="007602EF" w:rsidP="007602E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</w:pPr>
      <w:r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>“</w:t>
      </w:r>
      <w:r w:rsidRPr="006F6C6B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Cs w:val="20"/>
          <w:lang w:eastAsia="en-GB"/>
          <w14:cntxtAlts/>
        </w:rPr>
        <w:t>Declarations of Assets”,</w:t>
      </w:r>
      <w:r w:rsidRPr="006F6C6B">
        <w:rPr>
          <w:rFonts w:ascii="Times New Roman" w:eastAsia="Times New Roman" w:hAnsi="Times New Roman" w:cs="Times New Roman"/>
          <w:b/>
          <w:bCs/>
          <w:color w:val="000000"/>
          <w:kern w:val="28"/>
          <w:szCs w:val="20"/>
          <w:lang w:eastAsia="en-GB"/>
          <w14:cntxtAlts/>
        </w:rPr>
        <w:t xml:space="preserve"> should be clearly mentioned on the top left hand corner of the envelope</w:t>
      </w:r>
    </w:p>
    <w:p w14:paraId="7FCA942E" w14:textId="77777777" w:rsidR="007602EF" w:rsidRPr="00A45BB0" w:rsidRDefault="007602EF" w:rsidP="007602E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"/>
          <w:szCs w:val="20"/>
          <w:lang w:eastAsia="en-GB"/>
          <w14:cntxtAlts/>
        </w:rPr>
      </w:pPr>
    </w:p>
    <w:p w14:paraId="752B91DC" w14:textId="77777777" w:rsidR="006F6C6B" w:rsidRPr="006F4501" w:rsidRDefault="006F6C6B" w:rsidP="007602E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8"/>
          <w:szCs w:val="20"/>
          <w:lang w:eastAsia="en-GB"/>
          <w14:cntxtAlts/>
        </w:rPr>
      </w:pPr>
    </w:p>
    <w:p w14:paraId="2862A7D3" w14:textId="7807D79A" w:rsidR="00E81009" w:rsidRPr="006F4501" w:rsidRDefault="00E81009" w:rsidP="007602EF">
      <w:pPr>
        <w:shd w:val="clear" w:color="auto" w:fill="DEEAF6" w:themeFill="accent1" w:themeFillTint="33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Further Information</w:t>
      </w:r>
    </w:p>
    <w:p w14:paraId="6BCD2463" w14:textId="77777777" w:rsidR="00A608FD" w:rsidRPr="006F4501" w:rsidRDefault="00A608FD" w:rsidP="00E8100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0"/>
          <w:szCs w:val="20"/>
          <w:lang w:eastAsia="en-GB"/>
          <w14:cntxtAlts/>
        </w:rPr>
      </w:pPr>
    </w:p>
    <w:p w14:paraId="37F9E8E5" w14:textId="18C1CA60" w:rsidR="00E81009" w:rsidRPr="006F4501" w:rsidRDefault="00A55C42" w:rsidP="00E8100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noProof/>
          <w:color w:val="000000"/>
          <w:kern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2BB2" wp14:editId="2867B9A3">
                <wp:simplePos x="0" y="0"/>
                <wp:positionH relativeFrom="column">
                  <wp:posOffset>4961783</wp:posOffset>
                </wp:positionH>
                <wp:positionV relativeFrom="paragraph">
                  <wp:posOffset>149466</wp:posOffset>
                </wp:positionV>
                <wp:extent cx="2289362" cy="721217"/>
                <wp:effectExtent l="19050" t="19050" r="34925" b="1174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362" cy="721217"/>
                        </a:xfrm>
                        <a:prstGeom prst="wedgeEllipseCallou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4959C" w14:textId="3AFBF906" w:rsidR="007602EF" w:rsidRPr="006F4501" w:rsidRDefault="00E81009" w:rsidP="00E81009">
                            <w:pPr>
                              <w:widowControl w:val="0"/>
                              <w:spacing w:line="192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E8B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any further queries, prospective declarants are invited to call the help desk </w:t>
                            </w:r>
                            <w:r w:rsidRPr="006F4501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r w:rsidR="007602EF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02EF" w:rsidRPr="006F450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4026693 / 4026984</w:t>
                            </w:r>
                            <w:r w:rsidR="00A55C4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7602E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55C4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-mail: doa@icac.mu</w:t>
                            </w:r>
                          </w:p>
                          <w:p w14:paraId="1FD1A8C5" w14:textId="77777777" w:rsidR="00E81009" w:rsidRDefault="00E81009" w:rsidP="00E81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22B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left:0;text-align:left;margin-left:390.7pt;margin-top:11.75pt;width:180.2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" adj="6300,24300" fillcolor="#ffd966" strokecolor="#41719c" strokeweight="1pt">
                <v:textbox>
                  <w:txbxContent>
                    <w:p w14:paraId="34B4959C" w14:textId="3AFBF906" w:rsidR="007602EF" w:rsidRPr="006F4501" w:rsidRDefault="00E81009" w:rsidP="00E81009">
                      <w:pPr>
                        <w:widowControl w:val="0"/>
                        <w:spacing w:line="192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E8B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any further queries, prospective declarants are invited to call the help desk </w:t>
                      </w:r>
                      <w:r w:rsidRPr="006F4501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r w:rsidR="007602EF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02EF" w:rsidRPr="006F4501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4026693 / 4026984</w:t>
                      </w:r>
                      <w:r w:rsidR="00A55C42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7602EF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55C42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-mail: doa@icac.mu</w:t>
                      </w:r>
                    </w:p>
                    <w:p w14:paraId="1FD1A8C5" w14:textId="77777777" w:rsidR="00E81009" w:rsidRDefault="00E81009" w:rsidP="00E810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1009"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You can visit the website of the ICAC on </w:t>
      </w:r>
      <w:hyperlink r:id="rId10" w:history="1">
        <w:r w:rsidR="00E81009" w:rsidRPr="00404E19">
          <w:rPr>
            <w:rFonts w:ascii="Times New Roman" w:eastAsia="Times New Roman" w:hAnsi="Times New Roman" w:cs="Times New Roman"/>
            <w:color w:val="0070C0"/>
            <w:kern w:val="28"/>
            <w:szCs w:val="20"/>
            <w:u w:val="single"/>
            <w:lang w:eastAsia="en-GB"/>
            <w14:cntxtAlts/>
          </w:rPr>
          <w:t>www.icac.mu</w:t>
        </w:r>
      </w:hyperlink>
      <w:r w:rsidR="00E81009" w:rsidRPr="00404E19">
        <w:rPr>
          <w:rFonts w:ascii="Times New Roman" w:eastAsia="Times New Roman" w:hAnsi="Times New Roman" w:cs="Times New Roman"/>
          <w:color w:val="0070C0"/>
          <w:kern w:val="28"/>
          <w:szCs w:val="20"/>
          <w:lang w:eastAsia="en-GB"/>
          <w14:cntxtAlts/>
        </w:rPr>
        <w:t xml:space="preserve"> </w:t>
      </w:r>
      <w:r w:rsidR="00AE261B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for more information.  T</w:t>
      </w:r>
      <w:r w:rsidR="00E81009"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he following can </w:t>
      </w:r>
      <w:r w:rsidR="00AE261B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 xml:space="preserve">also </w:t>
      </w:r>
      <w:r w:rsidR="00E81009"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be downloaded to ensure compliance with the new Act:</w:t>
      </w:r>
    </w:p>
    <w:p w14:paraId="096867A5" w14:textId="315FC0CC" w:rsidR="00E81009" w:rsidRPr="006F4501" w:rsidRDefault="00E81009" w:rsidP="00E8100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4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color w:val="000000"/>
          <w:kern w:val="28"/>
          <w:sz w:val="4"/>
          <w:szCs w:val="20"/>
          <w:lang w:eastAsia="en-GB"/>
          <w14:cntxtAlts/>
        </w:rPr>
        <w:t> </w:t>
      </w:r>
    </w:p>
    <w:p w14:paraId="055CDF3D" w14:textId="2724D5CE" w:rsidR="00E81009" w:rsidRPr="006F4501" w:rsidRDefault="00E81009" w:rsidP="00E81009">
      <w:pPr>
        <w:widowControl w:val="0"/>
        <w:tabs>
          <w:tab w:val="left" w:pos="-31680"/>
        </w:tabs>
        <w:spacing w:after="0" w:line="285" w:lineRule="auto"/>
        <w:ind w:left="567" w:hanging="177"/>
        <w:jc w:val="both"/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val="x-none" w:eastAsia="en-GB"/>
          <w14:ligatures w14:val="standard"/>
          <w14:cntxtAlts/>
        </w:rPr>
        <w:t>*</w:t>
      </w: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ligatures w14:val="standard"/>
          <w14:cntxtAlts/>
        </w:rPr>
        <w:t> </w:t>
      </w: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the Declaration of Assets Act and Regulations</w:t>
      </w:r>
    </w:p>
    <w:p w14:paraId="56ECE6C6" w14:textId="6A8EF563" w:rsidR="00E81009" w:rsidRPr="006F4501" w:rsidRDefault="00E81009" w:rsidP="00E81009">
      <w:pPr>
        <w:widowControl w:val="0"/>
        <w:tabs>
          <w:tab w:val="left" w:pos="-31680"/>
        </w:tabs>
        <w:spacing w:after="0" w:line="285" w:lineRule="auto"/>
        <w:ind w:left="567" w:hanging="177"/>
        <w:jc w:val="both"/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val="x-none" w:eastAsia="en-GB"/>
          <w14:ligatures w14:val="standard"/>
          <w14:cntxtAlts/>
        </w:rPr>
        <w:t>*</w:t>
      </w: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ligatures w14:val="standard"/>
          <w14:cntxtAlts/>
        </w:rPr>
        <w:t> </w:t>
      </w: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standard declaration forms</w:t>
      </w:r>
    </w:p>
    <w:p w14:paraId="595E1BEF" w14:textId="417C8D64" w:rsidR="00B14208" w:rsidRPr="006F4501" w:rsidRDefault="00E81009" w:rsidP="00B14208">
      <w:pPr>
        <w:widowControl w:val="0"/>
        <w:tabs>
          <w:tab w:val="left" w:pos="-31680"/>
        </w:tabs>
        <w:spacing w:after="0" w:line="285" w:lineRule="auto"/>
        <w:ind w:left="567" w:hanging="177"/>
        <w:jc w:val="both"/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</w:pP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val="x-none" w:eastAsia="en-GB"/>
          <w14:ligatures w14:val="standard"/>
          <w14:cntxtAlts/>
        </w:rPr>
        <w:t>*</w:t>
      </w: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ligatures w14:val="standard"/>
          <w14:cntxtAlts/>
        </w:rPr>
        <w:t> </w:t>
      </w:r>
      <w:r w:rsidR="007602EF"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ligatures w14:val="standard"/>
          <w14:cntxtAlts/>
        </w:rPr>
        <w:t xml:space="preserve">the </w:t>
      </w:r>
      <w:r w:rsidR="0084654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ligatures w14:val="standard"/>
          <w14:cntxtAlts/>
        </w:rPr>
        <w:t xml:space="preserve">updated </w:t>
      </w: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Guide</w:t>
      </w:r>
      <w:r w:rsidR="007602EF"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lines</w:t>
      </w:r>
      <w:r w:rsidRPr="006F4501">
        <w:rPr>
          <w:rFonts w:ascii="Times New Roman" w:eastAsia="Times New Roman" w:hAnsi="Times New Roman" w:cs="Times New Roman"/>
          <w:color w:val="000000"/>
          <w:kern w:val="28"/>
          <w:szCs w:val="20"/>
          <w:lang w:eastAsia="en-GB"/>
          <w14:cntxtAlts/>
        </w:rPr>
        <w:t>.</w:t>
      </w:r>
    </w:p>
    <w:p w14:paraId="024099A3" w14:textId="77777777" w:rsidR="00B14208" w:rsidRPr="00A608FD" w:rsidRDefault="00B14208" w:rsidP="00E81009">
      <w:pPr>
        <w:widowControl w:val="0"/>
        <w:spacing w:after="0" w:line="285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"/>
          <w:szCs w:val="20"/>
          <w:lang w:val="en-US" w:eastAsia="en-GB"/>
          <w14:cntxtAlts/>
        </w:rPr>
      </w:pPr>
    </w:p>
    <w:p w14:paraId="01F04E7B" w14:textId="77777777" w:rsidR="007602EF" w:rsidRPr="008E0366" w:rsidRDefault="007602EF" w:rsidP="00E81009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"/>
          <w:szCs w:val="20"/>
          <w:lang w:eastAsia="en-GB"/>
          <w14:cntxtAlts/>
        </w:rPr>
      </w:pPr>
    </w:p>
    <w:p w14:paraId="15B268C1" w14:textId="5D7D87C9" w:rsidR="00E81009" w:rsidRPr="008A30CB" w:rsidRDefault="00E81009" w:rsidP="00E81009">
      <w:pPr>
        <w:widowControl w:val="0"/>
        <w:shd w:val="clear" w:color="auto" w:fill="2E74B5" w:themeFill="accent1" w:themeFillShade="BF"/>
        <w:spacing w:after="120" w:line="285" w:lineRule="auto"/>
        <w:rPr>
          <w:rFonts w:ascii="Times New Roman" w:eastAsia="Times New Roman" w:hAnsi="Times New Roman" w:cs="Times New Roman"/>
          <w:b/>
          <w:color w:val="FFFFFF" w:themeColor="background1"/>
          <w:kern w:val="28"/>
          <w:sz w:val="20"/>
          <w:szCs w:val="20"/>
          <w:lang w:eastAsia="en-GB"/>
          <w14:cntxtAlts/>
        </w:rPr>
      </w:pPr>
      <w:r w:rsidRPr="008A30CB">
        <w:rPr>
          <w:rFonts w:ascii="Times New Roman" w:eastAsia="Times New Roman" w:hAnsi="Times New Roman" w:cs="Times New Roman"/>
          <w:b/>
          <w:color w:val="FFFFFF" w:themeColor="background1"/>
          <w:kern w:val="28"/>
          <w:sz w:val="20"/>
          <w:szCs w:val="20"/>
          <w:lang w:eastAsia="en-GB"/>
          <w14:cntxtAlts/>
        </w:rPr>
        <w:t>Disclaimer: This leaflet is intended for information only and should not be regarded as a substitute for the law</w:t>
      </w:r>
    </w:p>
    <w:p w14:paraId="02B421A2" w14:textId="77777777" w:rsidR="00E81009" w:rsidRPr="008E0366" w:rsidRDefault="00E81009" w:rsidP="00E81009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sectPr w:rsidR="00E81009" w:rsidRPr="008E0366" w:rsidSect="00D8536F">
          <w:pgSz w:w="11906" w:h="16838"/>
          <w:pgMar w:top="238" w:right="244" w:bottom="244" w:left="238" w:header="510" w:footer="709" w:gutter="0"/>
          <w:cols w:space="708"/>
          <w:docGrid w:linePitch="360"/>
        </w:sectPr>
      </w:pPr>
    </w:p>
    <w:tbl>
      <w:tblPr>
        <w:tblStyle w:val="TableGrid1"/>
        <w:tblpPr w:leftFromText="180" w:rightFromText="180" w:horzAnchor="margin" w:tblpY="-329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4395"/>
        <w:gridCol w:w="2126"/>
        <w:gridCol w:w="3544"/>
      </w:tblGrid>
      <w:tr w:rsidR="00E81009" w:rsidRPr="00E0647B" w14:paraId="30271AEA" w14:textId="77777777" w:rsidTr="00825B1F">
        <w:tc>
          <w:tcPr>
            <w:tcW w:w="15730" w:type="dxa"/>
            <w:gridSpan w:val="5"/>
            <w:shd w:val="clear" w:color="auto" w:fill="0070C0"/>
          </w:tcPr>
          <w:p w14:paraId="537AFC1F" w14:textId="77777777" w:rsidR="00E81009" w:rsidRPr="00E0647B" w:rsidRDefault="00E81009" w:rsidP="00155ADE">
            <w:pPr>
              <w:contextualSpacing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5B1F">
              <w:rPr>
                <w:rFonts w:ascii="Times New Roman" w:hAnsi="Times New Roman" w:cs="Times New Roman"/>
                <w:b/>
                <w:color w:val="FFFFFF" w:themeColor="background1"/>
                <w:szCs w:val="17"/>
              </w:rPr>
              <w:lastRenderedPageBreak/>
              <w:t>Application of the Act</w:t>
            </w:r>
          </w:p>
        </w:tc>
      </w:tr>
      <w:tr w:rsidR="00825B1F" w:rsidRPr="00E0647B" w14:paraId="627FBF9D" w14:textId="77777777" w:rsidTr="00404E19">
        <w:tc>
          <w:tcPr>
            <w:tcW w:w="5665" w:type="dxa"/>
            <w:gridSpan w:val="2"/>
            <w:shd w:val="clear" w:color="auto" w:fill="D0CECE" w:themeFill="background2" w:themeFillShade="E6"/>
          </w:tcPr>
          <w:p w14:paraId="674051D5" w14:textId="77777777" w:rsidR="00E81009" w:rsidRPr="00825B1F" w:rsidRDefault="00E81009" w:rsidP="00155ADE">
            <w:pPr>
              <w:ind w:left="4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825B1F">
              <w:rPr>
                <w:rFonts w:ascii="Times New Roman" w:hAnsi="Times New Roman" w:cs="Times New Roman"/>
                <w:b/>
                <w:color w:val="C00000"/>
                <w:sz w:val="20"/>
                <w:szCs w:val="17"/>
              </w:rPr>
              <w:t xml:space="preserve">Who </w:t>
            </w:r>
            <w:r w:rsidRPr="00825B1F">
              <w:rPr>
                <w:rFonts w:ascii="Times New Roman" w:hAnsi="Times New Roman" w:cs="Times New Roman"/>
                <w:b/>
                <w:sz w:val="20"/>
                <w:szCs w:val="17"/>
              </w:rPr>
              <w:t>should declare – (Section 3)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14:paraId="29903584" w14:textId="77777777" w:rsidR="00E81009" w:rsidRPr="00825B1F" w:rsidRDefault="00E81009" w:rsidP="00155ADE">
            <w:pPr>
              <w:ind w:left="45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825B1F">
              <w:rPr>
                <w:rFonts w:ascii="Times New Roman" w:hAnsi="Times New Roman" w:cs="Times New Roman"/>
                <w:b/>
                <w:color w:val="C00000"/>
                <w:sz w:val="20"/>
                <w:szCs w:val="17"/>
              </w:rPr>
              <w:t>When</w:t>
            </w:r>
            <w:r w:rsidRPr="00825B1F">
              <w:rPr>
                <w:rFonts w:ascii="Times New Roman" w:hAnsi="Times New Roman" w:cs="Times New Roman"/>
                <w:b/>
                <w:sz w:val="20"/>
                <w:szCs w:val="17"/>
              </w:rPr>
              <w:t xml:space="preserve"> to declare (Section 4)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C61DA54" w14:textId="105FE9F0" w:rsidR="00E81009" w:rsidRPr="00825B1F" w:rsidRDefault="00E81009" w:rsidP="00155A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825B1F">
              <w:rPr>
                <w:rFonts w:ascii="Times New Roman" w:hAnsi="Times New Roman" w:cs="Times New Roman"/>
                <w:b/>
                <w:color w:val="C00000"/>
                <w:sz w:val="20"/>
                <w:szCs w:val="17"/>
              </w:rPr>
              <w:t>How</w:t>
            </w:r>
            <w:r w:rsidRPr="00825B1F">
              <w:rPr>
                <w:rFonts w:ascii="Times New Roman" w:hAnsi="Times New Roman" w:cs="Times New Roman"/>
                <w:b/>
                <w:sz w:val="20"/>
                <w:szCs w:val="17"/>
              </w:rPr>
              <w:t xml:space="preserve"> to declare- Form and Content of declaration- S</w:t>
            </w:r>
            <w:r w:rsidR="00722ECF">
              <w:rPr>
                <w:rFonts w:ascii="Times New Roman" w:hAnsi="Times New Roman" w:cs="Times New Roman"/>
                <w:b/>
                <w:sz w:val="20"/>
                <w:szCs w:val="17"/>
              </w:rPr>
              <w:t xml:space="preserve">ection </w:t>
            </w:r>
            <w:r w:rsidRPr="00825B1F">
              <w:rPr>
                <w:rFonts w:ascii="Times New Roman" w:hAnsi="Times New Roman" w:cs="Times New Roman"/>
                <w:b/>
                <w:sz w:val="20"/>
                <w:szCs w:val="17"/>
              </w:rPr>
              <w:t>5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1018607" w14:textId="77777777" w:rsidR="00E81009" w:rsidRPr="00825B1F" w:rsidRDefault="00E81009" w:rsidP="00155AD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825B1F">
              <w:rPr>
                <w:rFonts w:ascii="Times New Roman" w:hAnsi="Times New Roman" w:cs="Times New Roman"/>
                <w:b/>
                <w:sz w:val="20"/>
                <w:szCs w:val="17"/>
              </w:rPr>
              <w:t>Fresh declaration</w:t>
            </w:r>
          </w:p>
        </w:tc>
      </w:tr>
      <w:tr w:rsidR="00E81009" w:rsidRPr="00E0647B" w14:paraId="4230F394" w14:textId="77777777" w:rsidTr="00404E19">
        <w:tc>
          <w:tcPr>
            <w:tcW w:w="1555" w:type="dxa"/>
            <w:vMerge w:val="restart"/>
            <w:shd w:val="clear" w:color="auto" w:fill="DEEAF6" w:themeFill="accent1" w:themeFillTint="33"/>
          </w:tcPr>
          <w:p w14:paraId="59E6DAA7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National Assembly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14:paraId="085F12BC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member</w:t>
            </w:r>
          </w:p>
        </w:tc>
        <w:tc>
          <w:tcPr>
            <w:tcW w:w="4395" w:type="dxa"/>
            <w:vMerge w:val="restart"/>
            <w:shd w:val="clear" w:color="auto" w:fill="FFFFCC"/>
          </w:tcPr>
          <w:p w14:paraId="425E7683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Not later than 30 days after:</w:t>
            </w:r>
          </w:p>
          <w:p w14:paraId="3CF54C9E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the first sitting of the National Assembly</w:t>
            </w:r>
          </w:p>
          <w:p w14:paraId="298918C0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being elected to the National Assembly, following a by-election</w:t>
            </w:r>
          </w:p>
          <w:p w14:paraId="0B873EF1" w14:textId="25C0DA68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his seat becomes vacant pursuant to </w:t>
            </w:r>
            <w:r w:rsidR="00FC023E"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Section 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35 of the Constitution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5E865813" w14:textId="7A03215A" w:rsidR="00E81009" w:rsidRPr="00E0647B" w:rsidRDefault="001D2573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By way of affidavit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on the First Schedule of the Declaration of Assets Form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, sworn before the Supreme Court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</w:tcPr>
          <w:p w14:paraId="62EDB767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Within a period of 30 days, inform ICAC, in writing, where he acquires or disposes of:</w:t>
            </w:r>
          </w:p>
          <w:p w14:paraId="54A1D6D7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any freehold or leasehold immovable property in Mauritius or abroad;</w:t>
            </w:r>
          </w:p>
          <w:p w14:paraId="5FBBC993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a motor vehicle,  boat, a ship or an aircraft</w:t>
            </w:r>
          </w:p>
        </w:tc>
      </w:tr>
      <w:tr w:rsidR="00E81009" w:rsidRPr="00E0647B" w14:paraId="7B9BCFFE" w14:textId="77777777" w:rsidTr="00404E19">
        <w:tc>
          <w:tcPr>
            <w:tcW w:w="1555" w:type="dxa"/>
            <w:vMerge/>
            <w:shd w:val="clear" w:color="auto" w:fill="DEEAF6" w:themeFill="accent1" w:themeFillTint="33"/>
          </w:tcPr>
          <w:p w14:paraId="6AFD532C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14:paraId="136CBA18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Speaker </w:t>
            </w:r>
          </w:p>
        </w:tc>
        <w:tc>
          <w:tcPr>
            <w:tcW w:w="4395" w:type="dxa"/>
            <w:vMerge/>
            <w:shd w:val="clear" w:color="auto" w:fill="FFFFCC"/>
          </w:tcPr>
          <w:p w14:paraId="4D2BEEFA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297BD8DE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F3B93A5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52246DCD" w14:textId="77777777" w:rsidTr="00404E19">
        <w:tc>
          <w:tcPr>
            <w:tcW w:w="1555" w:type="dxa"/>
            <w:vMerge/>
            <w:shd w:val="clear" w:color="auto" w:fill="DEEAF6" w:themeFill="accent1" w:themeFillTint="33"/>
          </w:tcPr>
          <w:p w14:paraId="2387462D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14:paraId="179BEC6A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Minister</w:t>
            </w:r>
          </w:p>
        </w:tc>
        <w:tc>
          <w:tcPr>
            <w:tcW w:w="4395" w:type="dxa"/>
            <w:shd w:val="clear" w:color="auto" w:fill="FFCC66"/>
          </w:tcPr>
          <w:p w14:paraId="53C95D99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Not later than 30 days after:</w:t>
            </w:r>
          </w:p>
          <w:p w14:paraId="6F188E2C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being appointed</w:t>
            </w:r>
          </w:p>
          <w:p w14:paraId="1C1314CA" w14:textId="1B624F29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his office becomes vacant pursuant to </w:t>
            </w:r>
            <w:r w:rsidR="00FC023E"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Section 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60 of the Constitution 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231144F4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688F07A0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6B208169" w14:textId="77777777" w:rsidTr="00404E19">
        <w:trPr>
          <w:trHeight w:val="279"/>
        </w:trPr>
        <w:tc>
          <w:tcPr>
            <w:tcW w:w="1555" w:type="dxa"/>
            <w:vMerge w:val="restart"/>
            <w:shd w:val="clear" w:color="auto" w:fill="BDD6EE" w:themeFill="accent1" w:themeFillTint="66"/>
          </w:tcPr>
          <w:p w14:paraId="5A9521CB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Rodrigues Regional Assembly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14:paraId="263E5E29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member</w:t>
            </w:r>
          </w:p>
        </w:tc>
        <w:tc>
          <w:tcPr>
            <w:tcW w:w="4395" w:type="dxa"/>
            <w:vMerge w:val="restart"/>
            <w:shd w:val="clear" w:color="auto" w:fill="FFFFCC"/>
          </w:tcPr>
          <w:p w14:paraId="41AF1693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Not later than 30 days after:</w:t>
            </w:r>
          </w:p>
          <w:p w14:paraId="7501CA69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the first sitting of the Rodrigues Regional Assembly</w:t>
            </w:r>
          </w:p>
          <w:p w14:paraId="60BF0325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being elected to the Rodrigues Regional Assembly, following a by-election</w:t>
            </w:r>
          </w:p>
          <w:p w14:paraId="1AE89CF4" w14:textId="54734EEC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his seat becomes vacant pursuant to </w:t>
            </w:r>
            <w:r w:rsidR="00FC023E"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Section 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19 of the Rodrigues Regional Assembly Act</w:t>
            </w:r>
          </w:p>
        </w:tc>
        <w:tc>
          <w:tcPr>
            <w:tcW w:w="2126" w:type="dxa"/>
            <w:vMerge w:val="restart"/>
            <w:shd w:val="clear" w:color="auto" w:fill="F7CAAC" w:themeFill="accent2" w:themeFillTint="66"/>
          </w:tcPr>
          <w:p w14:paraId="68D9EF71" w14:textId="65237D44" w:rsidR="00E81009" w:rsidRPr="00E0647B" w:rsidRDefault="001D2573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By way of affidavit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on the First Schedule of the Declaration of Assets Form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, sworn before the Magistrate for Rodrigues</w:t>
            </w: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BC3A1BD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097EDA7C" w14:textId="77777777" w:rsidTr="00404E19">
        <w:tc>
          <w:tcPr>
            <w:tcW w:w="1555" w:type="dxa"/>
            <w:vMerge/>
            <w:shd w:val="clear" w:color="auto" w:fill="BDD6EE" w:themeFill="accent1" w:themeFillTint="66"/>
          </w:tcPr>
          <w:p w14:paraId="59118A5C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14:paraId="10F5D6F2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Chairperson</w:t>
            </w:r>
          </w:p>
        </w:tc>
        <w:tc>
          <w:tcPr>
            <w:tcW w:w="4395" w:type="dxa"/>
            <w:vMerge/>
            <w:shd w:val="clear" w:color="auto" w:fill="FFFFCC"/>
          </w:tcPr>
          <w:p w14:paraId="4243CE7E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7CAAC" w:themeFill="accent2" w:themeFillTint="66"/>
          </w:tcPr>
          <w:p w14:paraId="3E5583AD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71A95DC2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26ED0D04" w14:textId="77777777" w:rsidTr="00404E19">
        <w:tc>
          <w:tcPr>
            <w:tcW w:w="1555" w:type="dxa"/>
            <w:vMerge/>
            <w:shd w:val="clear" w:color="auto" w:fill="BDD6EE" w:themeFill="accent1" w:themeFillTint="66"/>
          </w:tcPr>
          <w:p w14:paraId="62907606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BDD6EE" w:themeFill="accent1" w:themeFillTint="66"/>
          </w:tcPr>
          <w:p w14:paraId="5B0CC01C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Commissioner</w:t>
            </w:r>
          </w:p>
        </w:tc>
        <w:tc>
          <w:tcPr>
            <w:tcW w:w="4395" w:type="dxa"/>
            <w:shd w:val="clear" w:color="auto" w:fill="FFCC66"/>
          </w:tcPr>
          <w:p w14:paraId="1332DCA6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Not later than 30 days after:</w:t>
            </w:r>
          </w:p>
          <w:p w14:paraId="2147840E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being appointed</w:t>
            </w:r>
          </w:p>
          <w:p w14:paraId="4FA1C5F5" w14:textId="449E95B2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his office becomes vacant pursuant to </w:t>
            </w:r>
            <w:r w:rsidR="00FC023E"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Section 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37 of the Rodrigues Regional Assembly Act</w:t>
            </w:r>
          </w:p>
        </w:tc>
        <w:tc>
          <w:tcPr>
            <w:tcW w:w="2126" w:type="dxa"/>
            <w:vMerge/>
            <w:shd w:val="clear" w:color="auto" w:fill="F7CAAC" w:themeFill="accent2" w:themeFillTint="66"/>
          </w:tcPr>
          <w:p w14:paraId="0C341CAD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463CD610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6045EB53" w14:textId="77777777" w:rsidTr="00404E19">
        <w:trPr>
          <w:trHeight w:val="1143"/>
        </w:trPr>
        <w:tc>
          <w:tcPr>
            <w:tcW w:w="1555" w:type="dxa"/>
            <w:vMerge w:val="restart"/>
            <w:shd w:val="clear" w:color="auto" w:fill="9CC2E5" w:themeFill="accent1" w:themeFillTint="99"/>
          </w:tcPr>
          <w:p w14:paraId="6F1906D3" w14:textId="77777777" w:rsidR="00E81009" w:rsidRPr="00E0647B" w:rsidRDefault="00E81009" w:rsidP="00E81009">
            <w:pPr>
              <w:numPr>
                <w:ilvl w:val="0"/>
                <w:numId w:val="3"/>
              </w:numPr>
              <w:spacing w:after="120"/>
              <w:ind w:left="171" w:hanging="17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Municipal City Council</w:t>
            </w:r>
          </w:p>
          <w:p w14:paraId="2E27CB95" w14:textId="77777777" w:rsidR="00E81009" w:rsidRPr="00E0647B" w:rsidRDefault="00E81009" w:rsidP="00E81009">
            <w:pPr>
              <w:numPr>
                <w:ilvl w:val="0"/>
                <w:numId w:val="3"/>
              </w:numPr>
              <w:spacing w:after="120"/>
              <w:ind w:left="171" w:hanging="17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Municipal Town Council</w:t>
            </w:r>
          </w:p>
          <w:p w14:paraId="47B9E194" w14:textId="77777777" w:rsidR="00E81009" w:rsidRPr="00E0647B" w:rsidRDefault="00E81009" w:rsidP="00E81009">
            <w:pPr>
              <w:numPr>
                <w:ilvl w:val="0"/>
                <w:numId w:val="3"/>
              </w:numPr>
              <w:spacing w:after="120"/>
              <w:ind w:left="171" w:hanging="17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District Council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14:paraId="410FCB6C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Councillor</w:t>
            </w:r>
          </w:p>
        </w:tc>
        <w:tc>
          <w:tcPr>
            <w:tcW w:w="4395" w:type="dxa"/>
            <w:shd w:val="clear" w:color="auto" w:fill="FFFFCC"/>
          </w:tcPr>
          <w:p w14:paraId="15FBD437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Not later than 30 days after:</w:t>
            </w:r>
          </w:p>
          <w:p w14:paraId="7908FD9F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the first sitting of the Municipal City Council, Municipal Town Council or District Council</w:t>
            </w:r>
          </w:p>
          <w:p w14:paraId="68F6AD14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being elected to Municipal City Council, Municipal Town Council or District Council, following a by-election</w:t>
            </w:r>
          </w:p>
          <w:p w14:paraId="5A5ABCE5" w14:textId="75DE11CA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his seat becomes vacant pursuant to </w:t>
            </w:r>
            <w:r w:rsidR="00FC023E"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Section 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40 of the Local Government Act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660D74DB" w14:textId="1D899869" w:rsidR="00E81009" w:rsidRPr="00E0647B" w:rsidRDefault="001D2573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By way of affidavit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on the First Schedule of the Declaration of Assets Form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, sworn before the Supreme Court</w:t>
            </w: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2D48E354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4B1363D1" w14:textId="77777777" w:rsidTr="00404E19">
        <w:trPr>
          <w:trHeight w:val="950"/>
        </w:trPr>
        <w:tc>
          <w:tcPr>
            <w:tcW w:w="1555" w:type="dxa"/>
            <w:vMerge/>
            <w:shd w:val="clear" w:color="auto" w:fill="9CC2E5" w:themeFill="accent1" w:themeFillTint="99"/>
          </w:tcPr>
          <w:p w14:paraId="7561B8E0" w14:textId="77777777" w:rsidR="00E81009" w:rsidRPr="00E0647B" w:rsidRDefault="00E81009" w:rsidP="00155ADE">
            <w:pPr>
              <w:ind w:left="17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9CC2E5" w:themeFill="accent1" w:themeFillTint="99"/>
          </w:tcPr>
          <w:p w14:paraId="40FE4E87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Lord Mayor</w:t>
            </w:r>
          </w:p>
          <w:p w14:paraId="77177345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Deputy Lord Mayor</w:t>
            </w:r>
          </w:p>
          <w:p w14:paraId="59AE234A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Mayor</w:t>
            </w:r>
          </w:p>
          <w:p w14:paraId="088CA63A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Deputy Mayor</w:t>
            </w:r>
          </w:p>
          <w:p w14:paraId="16D1B878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Chairperson</w:t>
            </w:r>
          </w:p>
          <w:p w14:paraId="069E8C51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Vice-Chairperson</w:t>
            </w:r>
          </w:p>
        </w:tc>
        <w:tc>
          <w:tcPr>
            <w:tcW w:w="4395" w:type="dxa"/>
            <w:shd w:val="clear" w:color="auto" w:fill="FFCC66"/>
          </w:tcPr>
          <w:p w14:paraId="0B79C629" w14:textId="77777777" w:rsidR="00E81009" w:rsidRPr="00E0647B" w:rsidRDefault="00E81009" w:rsidP="00155ADE">
            <w:pPr>
              <w:ind w:left="18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Not later than 30 days after:</w:t>
            </w:r>
          </w:p>
          <w:p w14:paraId="59B3D85A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being elected</w:t>
            </w:r>
          </w:p>
          <w:p w14:paraId="637FDD25" w14:textId="142CA8CB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his office becomes vacant pursuant to </w:t>
            </w:r>
            <w:r w:rsidR="00FC023E"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Section </w:t>
            </w: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41 of the Local Government Act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3B53B639" w14:textId="77777777" w:rsidR="00E81009" w:rsidRPr="00E0647B" w:rsidRDefault="00E81009" w:rsidP="00155ADE">
            <w:pPr>
              <w:ind w:left="18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1582841F" w14:textId="77777777" w:rsidR="00E81009" w:rsidRPr="00E0647B" w:rsidRDefault="00E81009" w:rsidP="00155ADE">
            <w:pPr>
              <w:ind w:left="18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16CA8428" w14:textId="77777777" w:rsidTr="00404E19">
        <w:trPr>
          <w:trHeight w:val="190"/>
        </w:trPr>
        <w:tc>
          <w:tcPr>
            <w:tcW w:w="1555" w:type="dxa"/>
            <w:vMerge/>
            <w:shd w:val="clear" w:color="auto" w:fill="9CC2E5" w:themeFill="accent1" w:themeFillTint="99"/>
          </w:tcPr>
          <w:p w14:paraId="41E91880" w14:textId="77777777" w:rsidR="00E81009" w:rsidRPr="00E0647B" w:rsidRDefault="00E81009" w:rsidP="00155ADE">
            <w:pPr>
              <w:ind w:left="17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9CC2E5" w:themeFill="accent1" w:themeFillTint="99"/>
          </w:tcPr>
          <w:p w14:paraId="265DBC98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Chief Executive</w:t>
            </w:r>
          </w:p>
        </w:tc>
        <w:tc>
          <w:tcPr>
            <w:tcW w:w="4395" w:type="dxa"/>
            <w:vMerge w:val="restart"/>
            <w:shd w:val="clear" w:color="auto" w:fill="FFCCCC"/>
          </w:tcPr>
          <w:p w14:paraId="7518E1BE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Not later than 30 days after:</w:t>
            </w:r>
          </w:p>
          <w:p w14:paraId="56991DA6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being appointed</w:t>
            </w:r>
          </w:p>
          <w:p w14:paraId="4B134B3C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258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his office becomes vacant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3E3A2626" w14:textId="42A8AD8A" w:rsidR="00E81009" w:rsidRPr="00E0647B" w:rsidRDefault="001D2573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On the Second Schedule of the Declaration of Assets Form</w:t>
            </w:r>
          </w:p>
        </w:tc>
        <w:tc>
          <w:tcPr>
            <w:tcW w:w="3544" w:type="dxa"/>
            <w:vMerge w:val="restart"/>
            <w:shd w:val="clear" w:color="auto" w:fill="9CC2E5" w:themeFill="accent1" w:themeFillTint="99"/>
          </w:tcPr>
          <w:p w14:paraId="57D6421D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Make a fresh declaration with ICAC :</w:t>
            </w:r>
          </w:p>
          <w:p w14:paraId="51B34939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42"/>
              <w:contextualSpacing/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at every interval of 5 years following the date of the first proclamation</w:t>
            </w:r>
          </w:p>
          <w:p w14:paraId="660CDEC1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within a period of 30 days after leaving office</w:t>
            </w:r>
          </w:p>
        </w:tc>
      </w:tr>
      <w:tr w:rsidR="00E81009" w:rsidRPr="00E0647B" w14:paraId="2E4604B5" w14:textId="77777777" w:rsidTr="00404E19">
        <w:trPr>
          <w:trHeight w:val="279"/>
        </w:trPr>
        <w:tc>
          <w:tcPr>
            <w:tcW w:w="1555" w:type="dxa"/>
            <w:vMerge/>
            <w:shd w:val="clear" w:color="auto" w:fill="9CC2E5" w:themeFill="accent1" w:themeFillTint="99"/>
          </w:tcPr>
          <w:p w14:paraId="723CB78A" w14:textId="77777777" w:rsidR="00E81009" w:rsidRPr="00E0647B" w:rsidRDefault="00E81009" w:rsidP="00155ADE">
            <w:pPr>
              <w:ind w:left="171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10" w:type="dxa"/>
            <w:shd w:val="clear" w:color="auto" w:fill="9CC2E5" w:themeFill="accent1" w:themeFillTint="99"/>
          </w:tcPr>
          <w:p w14:paraId="1E5A0E23" w14:textId="77777777" w:rsidR="00E81009" w:rsidRPr="00E0647B" w:rsidRDefault="00E81009" w:rsidP="0008488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Every Officer drawing salary at the level </w:t>
            </w:r>
            <w:r w:rsidRPr="00D81C76">
              <w:rPr>
                <w:rFonts w:ascii="Times New Roman" w:hAnsi="Times New Roman" w:cs="Times New Roman"/>
                <w:sz w:val="17"/>
                <w:szCs w:val="17"/>
              </w:rPr>
              <w:t xml:space="preserve">of </w:t>
            </w:r>
            <w:r w:rsidR="00084880" w:rsidRPr="00D81C76">
              <w:rPr>
                <w:rFonts w:ascii="Times New Roman" w:hAnsi="Times New Roman" w:cs="Times New Roman"/>
                <w:sz w:val="17"/>
                <w:szCs w:val="17"/>
              </w:rPr>
              <w:t xml:space="preserve">Deputy Permanent Secretary (DPS) </w:t>
            </w:r>
            <w:r w:rsidRPr="00D81C76">
              <w:rPr>
                <w:rFonts w:ascii="Times New Roman" w:hAnsi="Times New Roman" w:cs="Times New Roman"/>
                <w:sz w:val="17"/>
                <w:szCs w:val="17"/>
              </w:rPr>
              <w:t>and above</w:t>
            </w:r>
          </w:p>
        </w:tc>
        <w:tc>
          <w:tcPr>
            <w:tcW w:w="4395" w:type="dxa"/>
            <w:vMerge/>
            <w:shd w:val="clear" w:color="auto" w:fill="FFCCCC"/>
          </w:tcPr>
          <w:p w14:paraId="7FDD28DB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62755916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9CC2E5" w:themeFill="accent1" w:themeFillTint="99"/>
          </w:tcPr>
          <w:p w14:paraId="4AE780D3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6A3B05B9" w14:textId="77777777" w:rsidTr="00404E19">
        <w:tc>
          <w:tcPr>
            <w:tcW w:w="1555" w:type="dxa"/>
            <w:shd w:val="clear" w:color="auto" w:fill="BDD6EE" w:themeFill="accent1" w:themeFillTint="66"/>
          </w:tcPr>
          <w:p w14:paraId="4F2F565D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Judicial Officer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14:paraId="661119FB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In the grade of District Magistrate and above</w:t>
            </w:r>
          </w:p>
        </w:tc>
        <w:tc>
          <w:tcPr>
            <w:tcW w:w="4395" w:type="dxa"/>
            <w:vMerge/>
            <w:shd w:val="clear" w:color="auto" w:fill="FFCCCC"/>
          </w:tcPr>
          <w:p w14:paraId="391E971D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659800B6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9CC2E5" w:themeFill="accent1" w:themeFillTint="99"/>
          </w:tcPr>
          <w:p w14:paraId="13602368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42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55991A5F" w14:textId="77777777" w:rsidTr="00404E19">
        <w:tc>
          <w:tcPr>
            <w:tcW w:w="1555" w:type="dxa"/>
            <w:shd w:val="clear" w:color="auto" w:fill="B4C6E7" w:themeFill="accent5" w:themeFillTint="66"/>
          </w:tcPr>
          <w:p w14:paraId="75578C34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Senior Public Officer</w:t>
            </w:r>
          </w:p>
        </w:tc>
        <w:tc>
          <w:tcPr>
            <w:tcW w:w="4110" w:type="dxa"/>
            <w:shd w:val="clear" w:color="auto" w:fill="B4C6E7" w:themeFill="accent5" w:themeFillTint="66"/>
          </w:tcPr>
          <w:p w14:paraId="3AAAACB7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In the grade of, or drawing salary at the level of DPS and above</w:t>
            </w:r>
          </w:p>
        </w:tc>
        <w:tc>
          <w:tcPr>
            <w:tcW w:w="4395" w:type="dxa"/>
            <w:vMerge/>
            <w:shd w:val="clear" w:color="auto" w:fill="FFCCCC"/>
          </w:tcPr>
          <w:p w14:paraId="40B0ABD7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54BD3C42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9CC2E5" w:themeFill="accent1" w:themeFillTint="99"/>
          </w:tcPr>
          <w:p w14:paraId="7ABD920E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3538E9C2" w14:textId="77777777" w:rsidTr="00404E19">
        <w:tc>
          <w:tcPr>
            <w:tcW w:w="1555" w:type="dxa"/>
            <w:shd w:val="clear" w:color="auto" w:fill="D5DCE4" w:themeFill="text2" w:themeFillTint="33"/>
          </w:tcPr>
          <w:p w14:paraId="6D958EF1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State-owned enterprises</w:t>
            </w:r>
          </w:p>
          <w:p w14:paraId="1D99AAFD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Statutory bodies</w:t>
            </w:r>
          </w:p>
        </w:tc>
        <w:tc>
          <w:tcPr>
            <w:tcW w:w="4110" w:type="dxa"/>
            <w:shd w:val="clear" w:color="auto" w:fill="D5DCE4" w:themeFill="text2" w:themeFillTint="33"/>
          </w:tcPr>
          <w:p w14:paraId="2B417411" w14:textId="77777777" w:rsidR="00E81009" w:rsidRPr="00E0647B" w:rsidRDefault="00E81009" w:rsidP="00E81009">
            <w:pPr>
              <w:numPr>
                <w:ilvl w:val="0"/>
                <w:numId w:val="3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Chairperson</w:t>
            </w:r>
          </w:p>
          <w:p w14:paraId="090E86F2" w14:textId="77777777" w:rsidR="00E81009" w:rsidRPr="00E0647B" w:rsidRDefault="00E81009" w:rsidP="00E81009">
            <w:pPr>
              <w:numPr>
                <w:ilvl w:val="0"/>
                <w:numId w:val="3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 xml:space="preserve">Chief Executive Officer </w:t>
            </w:r>
          </w:p>
          <w:p w14:paraId="0D5BB26E" w14:textId="77777777" w:rsidR="00E81009" w:rsidRPr="00E0647B" w:rsidRDefault="00E81009" w:rsidP="00E81009">
            <w:pPr>
              <w:numPr>
                <w:ilvl w:val="0"/>
                <w:numId w:val="3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Officer drawing salary at the level of DPS and above</w:t>
            </w:r>
          </w:p>
        </w:tc>
        <w:tc>
          <w:tcPr>
            <w:tcW w:w="4395" w:type="dxa"/>
            <w:vMerge/>
            <w:shd w:val="clear" w:color="auto" w:fill="FFCCCC"/>
          </w:tcPr>
          <w:p w14:paraId="11D8E880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95C355D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 w:val="restart"/>
            <w:shd w:val="clear" w:color="auto" w:fill="DEEAF6" w:themeFill="accent1" w:themeFillTint="33"/>
          </w:tcPr>
          <w:p w14:paraId="717819D5" w14:textId="77777777" w:rsidR="00E81009" w:rsidRPr="00E0647B" w:rsidRDefault="00E81009" w:rsidP="00155AD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Within a period of 30 days, inform ICAC, in writing, where he acquires or disposes of:</w:t>
            </w:r>
          </w:p>
          <w:p w14:paraId="2783F38C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any freehold or leasehold immovable property in Mauritius or abroad;</w:t>
            </w:r>
          </w:p>
          <w:p w14:paraId="0C22FC62" w14:textId="77777777" w:rsidR="00E81009" w:rsidRPr="00E0647B" w:rsidRDefault="00E81009" w:rsidP="00E81009">
            <w:pPr>
              <w:numPr>
                <w:ilvl w:val="0"/>
                <w:numId w:val="2"/>
              </w:numPr>
              <w:spacing w:after="120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a motor vehicle,  boat, a ship or an aircraft</w:t>
            </w:r>
          </w:p>
        </w:tc>
      </w:tr>
      <w:tr w:rsidR="00E81009" w:rsidRPr="00E0647B" w14:paraId="71DF6C29" w14:textId="77777777" w:rsidTr="00404E19">
        <w:tc>
          <w:tcPr>
            <w:tcW w:w="5665" w:type="dxa"/>
            <w:gridSpan w:val="2"/>
            <w:shd w:val="clear" w:color="auto" w:fill="ACB9CA" w:themeFill="text2" w:themeFillTint="66"/>
          </w:tcPr>
          <w:p w14:paraId="636C8D1E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Every adviser and officer employed on a contractual basis in Ministries, drawing salary at the level of Deputy Permanent Secretary and above</w:t>
            </w:r>
          </w:p>
        </w:tc>
        <w:tc>
          <w:tcPr>
            <w:tcW w:w="4395" w:type="dxa"/>
            <w:vMerge/>
            <w:shd w:val="clear" w:color="auto" w:fill="FFCCCC"/>
          </w:tcPr>
          <w:p w14:paraId="566EA957" w14:textId="77777777" w:rsidR="00E81009" w:rsidRPr="00E0647B" w:rsidRDefault="00E81009" w:rsidP="00E81009">
            <w:pPr>
              <w:numPr>
                <w:ilvl w:val="0"/>
                <w:numId w:val="3"/>
              </w:numPr>
              <w:spacing w:after="120"/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6E634898" w14:textId="77777777" w:rsidR="00E81009" w:rsidRPr="00E0647B" w:rsidRDefault="00E81009" w:rsidP="00E81009">
            <w:pPr>
              <w:numPr>
                <w:ilvl w:val="0"/>
                <w:numId w:val="3"/>
              </w:numPr>
              <w:spacing w:after="120"/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71E4CED3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81009" w:rsidRPr="00E0647B" w14:paraId="267CCE2D" w14:textId="77777777" w:rsidTr="00404E19">
        <w:tc>
          <w:tcPr>
            <w:tcW w:w="5665" w:type="dxa"/>
            <w:gridSpan w:val="2"/>
            <w:shd w:val="clear" w:color="auto" w:fill="323E4F" w:themeFill="text2" w:themeFillShade="BF"/>
          </w:tcPr>
          <w:p w14:paraId="2345564F" w14:textId="77777777" w:rsidR="00E81009" w:rsidRPr="00E0647B" w:rsidRDefault="00E81009" w:rsidP="00155AD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0647B">
              <w:rPr>
                <w:rFonts w:ascii="Times New Roman" w:hAnsi="Times New Roman" w:cs="Times New Roman"/>
                <w:sz w:val="17"/>
                <w:szCs w:val="17"/>
              </w:rPr>
              <w:t>Such other persons as may be prescribed</w:t>
            </w:r>
          </w:p>
        </w:tc>
        <w:tc>
          <w:tcPr>
            <w:tcW w:w="4395" w:type="dxa"/>
            <w:vMerge/>
            <w:shd w:val="clear" w:color="auto" w:fill="FFCCCC"/>
          </w:tcPr>
          <w:p w14:paraId="360CE074" w14:textId="77777777" w:rsidR="00E81009" w:rsidRPr="00E0647B" w:rsidRDefault="00E81009" w:rsidP="00E81009">
            <w:pPr>
              <w:numPr>
                <w:ilvl w:val="0"/>
                <w:numId w:val="3"/>
              </w:numPr>
              <w:spacing w:after="120"/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270B8E1F" w14:textId="77777777" w:rsidR="00E81009" w:rsidRPr="00E0647B" w:rsidRDefault="00E81009" w:rsidP="00E81009">
            <w:pPr>
              <w:numPr>
                <w:ilvl w:val="0"/>
                <w:numId w:val="3"/>
              </w:numPr>
              <w:spacing w:after="120"/>
              <w:ind w:left="459" w:hanging="284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157F5C9" w14:textId="77777777" w:rsidR="00E81009" w:rsidRPr="00E0647B" w:rsidRDefault="00E81009" w:rsidP="00155ADE">
            <w:pPr>
              <w:ind w:left="459"/>
              <w:contextualSpacing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1CFE69FF" w14:textId="77777777" w:rsidR="00E0647B" w:rsidRPr="00825B1F" w:rsidRDefault="00E0647B" w:rsidP="005A34E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FF0000"/>
          <w:sz w:val="14"/>
          <w:szCs w:val="24"/>
        </w:rPr>
      </w:pPr>
    </w:p>
    <w:p w14:paraId="67350BDA" w14:textId="77777777" w:rsidR="005A34EE" w:rsidRPr="006C2CD5" w:rsidRDefault="00E81009" w:rsidP="005A34E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color w:val="FF0000"/>
          <w:sz w:val="18"/>
          <w:szCs w:val="24"/>
        </w:rPr>
      </w:pPr>
      <w:r w:rsidRPr="006C2CD5">
        <w:rPr>
          <w:rFonts w:cstheme="minorHAnsi"/>
          <w:i/>
          <w:color w:val="FF0000"/>
          <w:sz w:val="18"/>
          <w:szCs w:val="24"/>
        </w:rPr>
        <w:t>*</w:t>
      </w:r>
      <w:r w:rsidR="00084880" w:rsidRPr="006C2CD5">
        <w:rPr>
          <w:rFonts w:cstheme="minorHAnsi"/>
          <w:i/>
          <w:color w:val="FF0000"/>
          <w:sz w:val="18"/>
          <w:szCs w:val="24"/>
        </w:rPr>
        <w:t xml:space="preserve">The </w:t>
      </w:r>
      <w:r w:rsidR="005A34EE" w:rsidRPr="006C2CD5">
        <w:rPr>
          <w:rFonts w:cstheme="minorHAnsi"/>
          <w:i/>
          <w:color w:val="FF0000"/>
          <w:sz w:val="18"/>
          <w:szCs w:val="24"/>
        </w:rPr>
        <w:t>benchmark sala</w:t>
      </w:r>
      <w:r w:rsidR="00084880" w:rsidRPr="006C2CD5">
        <w:rPr>
          <w:rFonts w:cstheme="minorHAnsi"/>
          <w:i/>
          <w:color w:val="FF0000"/>
          <w:sz w:val="18"/>
          <w:szCs w:val="24"/>
        </w:rPr>
        <w:t>ry of DPS</w:t>
      </w:r>
      <w:r w:rsidR="005A34EE" w:rsidRPr="006C2CD5">
        <w:rPr>
          <w:rFonts w:cstheme="minorHAnsi"/>
          <w:i/>
          <w:color w:val="FF0000"/>
          <w:sz w:val="18"/>
          <w:szCs w:val="24"/>
        </w:rPr>
        <w:t xml:space="preserve"> is the starting salary on the scale provided in the latest Report of the Pay Research Bureau</w:t>
      </w:r>
      <w:r w:rsidR="00641127" w:rsidRPr="006C2CD5">
        <w:rPr>
          <w:rFonts w:cstheme="minorHAnsi"/>
          <w:i/>
          <w:color w:val="FF0000"/>
          <w:sz w:val="18"/>
          <w:szCs w:val="24"/>
        </w:rPr>
        <w:t xml:space="preserve"> (PRB)</w:t>
      </w:r>
      <w:r w:rsidR="005A34EE" w:rsidRPr="006C2CD5">
        <w:rPr>
          <w:rFonts w:cstheme="minorHAnsi"/>
          <w:i/>
          <w:color w:val="FF0000"/>
          <w:sz w:val="18"/>
          <w:szCs w:val="24"/>
        </w:rPr>
        <w:t xml:space="preserve">. The current benchmark DPS salary is thus </w:t>
      </w:r>
      <w:proofErr w:type="spellStart"/>
      <w:r w:rsidR="005A34EE" w:rsidRPr="006C2CD5">
        <w:rPr>
          <w:rFonts w:cstheme="minorHAnsi"/>
          <w:i/>
          <w:color w:val="FF0000"/>
          <w:sz w:val="18"/>
          <w:szCs w:val="24"/>
        </w:rPr>
        <w:t>Rs</w:t>
      </w:r>
      <w:proofErr w:type="spellEnd"/>
      <w:r w:rsidR="005A34EE" w:rsidRPr="006C2CD5">
        <w:rPr>
          <w:rFonts w:cstheme="minorHAnsi"/>
          <w:i/>
          <w:color w:val="FF0000"/>
          <w:sz w:val="18"/>
          <w:szCs w:val="24"/>
        </w:rPr>
        <w:t xml:space="preserve"> 64,800 as per the PRB Report 2016.</w:t>
      </w:r>
      <w:r w:rsidR="00084880" w:rsidRPr="006C2CD5">
        <w:rPr>
          <w:rFonts w:cstheme="minorHAnsi"/>
          <w:i/>
          <w:color w:val="FF0000"/>
          <w:sz w:val="18"/>
          <w:szCs w:val="24"/>
        </w:rPr>
        <w:t xml:space="preserve"> </w:t>
      </w:r>
    </w:p>
    <w:sectPr w:rsidR="005A34EE" w:rsidRPr="006C2CD5" w:rsidSect="00E0647B">
      <w:head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A8E80" w14:textId="77777777" w:rsidR="00FB0D4D" w:rsidRDefault="00FB0D4D" w:rsidP="00E81009">
      <w:pPr>
        <w:spacing w:after="0" w:line="240" w:lineRule="auto"/>
      </w:pPr>
      <w:r>
        <w:separator/>
      </w:r>
    </w:p>
  </w:endnote>
  <w:endnote w:type="continuationSeparator" w:id="0">
    <w:p w14:paraId="262E17D7" w14:textId="77777777" w:rsidR="00FB0D4D" w:rsidRDefault="00FB0D4D" w:rsidP="00E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7DD48" w14:textId="77777777" w:rsidR="00FB0D4D" w:rsidRDefault="00FB0D4D" w:rsidP="00E81009">
      <w:pPr>
        <w:spacing w:after="0" w:line="240" w:lineRule="auto"/>
      </w:pPr>
      <w:r>
        <w:separator/>
      </w:r>
    </w:p>
  </w:footnote>
  <w:footnote w:type="continuationSeparator" w:id="0">
    <w:p w14:paraId="384041EE" w14:textId="77777777" w:rsidR="00FB0D4D" w:rsidRDefault="00FB0D4D" w:rsidP="00E8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74C2" w14:textId="77777777" w:rsidR="00936F5A" w:rsidRPr="00E81009" w:rsidRDefault="00FB0D4D" w:rsidP="00E81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69D4"/>
    <w:multiLevelType w:val="hybridMultilevel"/>
    <w:tmpl w:val="BB20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D2E"/>
    <w:multiLevelType w:val="hybridMultilevel"/>
    <w:tmpl w:val="B01E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2CD"/>
    <w:multiLevelType w:val="hybridMultilevel"/>
    <w:tmpl w:val="7D640D8A"/>
    <w:lvl w:ilvl="0" w:tplc="92183C58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BCA796A"/>
    <w:multiLevelType w:val="hybridMultilevel"/>
    <w:tmpl w:val="FC923156"/>
    <w:lvl w:ilvl="0" w:tplc="0E60D51C">
      <w:numFmt w:val="bullet"/>
      <w:lvlText w:val="-"/>
      <w:lvlJc w:val="left"/>
      <w:pPr>
        <w:ind w:left="759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3F252AC5"/>
    <w:multiLevelType w:val="hybridMultilevel"/>
    <w:tmpl w:val="08DC5308"/>
    <w:lvl w:ilvl="0" w:tplc="FE882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4388"/>
    <w:multiLevelType w:val="hybridMultilevel"/>
    <w:tmpl w:val="98CE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D1014"/>
    <w:multiLevelType w:val="hybridMultilevel"/>
    <w:tmpl w:val="902C5FE6"/>
    <w:lvl w:ilvl="0" w:tplc="D6B0B02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09F3"/>
    <w:multiLevelType w:val="hybridMultilevel"/>
    <w:tmpl w:val="6A08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09"/>
    <w:rsid w:val="00005988"/>
    <w:rsid w:val="00084880"/>
    <w:rsid w:val="000C2840"/>
    <w:rsid w:val="001109C3"/>
    <w:rsid w:val="001C4D63"/>
    <w:rsid w:val="001D2573"/>
    <w:rsid w:val="00251298"/>
    <w:rsid w:val="00272445"/>
    <w:rsid w:val="00283561"/>
    <w:rsid w:val="002D7F8B"/>
    <w:rsid w:val="003239AA"/>
    <w:rsid w:val="00342009"/>
    <w:rsid w:val="00371B9B"/>
    <w:rsid w:val="003E1EA5"/>
    <w:rsid w:val="003E5218"/>
    <w:rsid w:val="00404E19"/>
    <w:rsid w:val="004156D7"/>
    <w:rsid w:val="00474665"/>
    <w:rsid w:val="004C2480"/>
    <w:rsid w:val="004C6A21"/>
    <w:rsid w:val="004D1533"/>
    <w:rsid w:val="00534FFB"/>
    <w:rsid w:val="00535B56"/>
    <w:rsid w:val="00537FA4"/>
    <w:rsid w:val="00540E7E"/>
    <w:rsid w:val="005433AB"/>
    <w:rsid w:val="0056613D"/>
    <w:rsid w:val="005924F8"/>
    <w:rsid w:val="005A34EE"/>
    <w:rsid w:val="005C1FB4"/>
    <w:rsid w:val="005C4E24"/>
    <w:rsid w:val="005D0D37"/>
    <w:rsid w:val="005F6720"/>
    <w:rsid w:val="006014EE"/>
    <w:rsid w:val="00641127"/>
    <w:rsid w:val="00642F93"/>
    <w:rsid w:val="006C2CD5"/>
    <w:rsid w:val="006F4501"/>
    <w:rsid w:val="006F6C6B"/>
    <w:rsid w:val="00722ECF"/>
    <w:rsid w:val="007423A9"/>
    <w:rsid w:val="007602EF"/>
    <w:rsid w:val="0076189E"/>
    <w:rsid w:val="00784F62"/>
    <w:rsid w:val="00793EFA"/>
    <w:rsid w:val="0080015D"/>
    <w:rsid w:val="00825B1F"/>
    <w:rsid w:val="00842779"/>
    <w:rsid w:val="00846541"/>
    <w:rsid w:val="008E7019"/>
    <w:rsid w:val="00961B62"/>
    <w:rsid w:val="009624E1"/>
    <w:rsid w:val="00973C7B"/>
    <w:rsid w:val="0097425A"/>
    <w:rsid w:val="00984108"/>
    <w:rsid w:val="009A087C"/>
    <w:rsid w:val="009A100B"/>
    <w:rsid w:val="009F518B"/>
    <w:rsid w:val="00A05B77"/>
    <w:rsid w:val="00A45BB0"/>
    <w:rsid w:val="00A55C42"/>
    <w:rsid w:val="00A608FD"/>
    <w:rsid w:val="00AD68BC"/>
    <w:rsid w:val="00AE261B"/>
    <w:rsid w:val="00AF4698"/>
    <w:rsid w:val="00B11B49"/>
    <w:rsid w:val="00B14208"/>
    <w:rsid w:val="00B34043"/>
    <w:rsid w:val="00B459C8"/>
    <w:rsid w:val="00BA134E"/>
    <w:rsid w:val="00BC04D0"/>
    <w:rsid w:val="00BE4A56"/>
    <w:rsid w:val="00BF4087"/>
    <w:rsid w:val="00C07A2A"/>
    <w:rsid w:val="00C630EA"/>
    <w:rsid w:val="00CC5200"/>
    <w:rsid w:val="00D51590"/>
    <w:rsid w:val="00D804AA"/>
    <w:rsid w:val="00D81C76"/>
    <w:rsid w:val="00D8536F"/>
    <w:rsid w:val="00DE3235"/>
    <w:rsid w:val="00DF51C1"/>
    <w:rsid w:val="00E04B39"/>
    <w:rsid w:val="00E0647B"/>
    <w:rsid w:val="00E44F07"/>
    <w:rsid w:val="00E81009"/>
    <w:rsid w:val="00E926CC"/>
    <w:rsid w:val="00E95DF4"/>
    <w:rsid w:val="00F00817"/>
    <w:rsid w:val="00F760F5"/>
    <w:rsid w:val="00FB0D4D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B71A4"/>
  <w15:chartTrackingRefBased/>
  <w15:docId w15:val="{EF4CB85F-43A6-48A1-8886-731DE57A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10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81009"/>
  </w:style>
  <w:style w:type="paragraph" w:styleId="Header">
    <w:name w:val="header"/>
    <w:basedOn w:val="Normal"/>
    <w:link w:val="HeaderChar"/>
    <w:uiPriority w:val="99"/>
    <w:unhideWhenUsed/>
    <w:rsid w:val="00E81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09"/>
  </w:style>
  <w:style w:type="table" w:customStyle="1" w:styleId="GridTable4-Accent11">
    <w:name w:val="Grid Table 4 - Accent 11"/>
    <w:basedOn w:val="TableNormal"/>
    <w:next w:val="GridTable4-Accent1"/>
    <w:uiPriority w:val="49"/>
    <w:rsid w:val="00E81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E8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E810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E8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09"/>
  </w:style>
  <w:style w:type="paragraph" w:styleId="BalloonText">
    <w:name w:val="Balloon Text"/>
    <w:basedOn w:val="Normal"/>
    <w:link w:val="BalloonTextChar"/>
    <w:uiPriority w:val="99"/>
    <w:semiHidden/>
    <w:unhideWhenUsed/>
    <w:rsid w:val="00C0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5C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ac.m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C14C-CE9B-4AF6-ADA1-A5B57F1A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Reshmita GREEDHAREE</dc:creator>
  <cp:keywords/>
  <dc:description/>
  <cp:lastModifiedBy>Malini JOORY</cp:lastModifiedBy>
  <cp:revision>7</cp:revision>
  <cp:lastPrinted>2019-05-30T10:56:00Z</cp:lastPrinted>
  <dcterms:created xsi:type="dcterms:W3CDTF">2019-05-30T10:51:00Z</dcterms:created>
  <dcterms:modified xsi:type="dcterms:W3CDTF">2019-05-30T11:15:00Z</dcterms:modified>
</cp:coreProperties>
</file>